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jc w:val="center"/>
        <w:tblLook w:val="04A0" w:firstRow="1" w:lastRow="0" w:firstColumn="1" w:lastColumn="0" w:noHBand="0" w:noVBand="1"/>
      </w:tblPr>
      <w:tblGrid>
        <w:gridCol w:w="9406"/>
      </w:tblGrid>
      <w:tr w:rsidR="00604DB6" w14:paraId="0C3E6007" w14:textId="77777777">
        <w:trPr>
          <w:jc w:val="center"/>
        </w:trPr>
        <w:tc>
          <w:tcPr>
            <w:tcW w:w="9406" w:type="dxa"/>
            <w:tcBorders>
              <w:top w:val="nil"/>
              <w:left w:val="nil"/>
              <w:bottom w:val="nil"/>
              <w:right w:val="nil"/>
            </w:tcBorders>
            <w:shd w:val="clear" w:color="auto" w:fill="003366"/>
          </w:tcPr>
          <w:p w14:paraId="6F8CEBC9" w14:textId="2F5E6B7E" w:rsidR="00604DB6" w:rsidRDefault="00000000">
            <w:pPr>
              <w:jc w:val="center"/>
            </w:pPr>
            <w:r>
              <w:rPr>
                <w:rFonts w:eastAsia="Calibri"/>
                <w:b/>
                <w:color w:val="FFFFFF"/>
                <w:sz w:val="36"/>
              </w:rPr>
              <w:t>TERMS OF REFERENCE (TOR)</w:t>
            </w:r>
            <w:r>
              <w:rPr>
                <w:rFonts w:eastAsia="Calibri"/>
                <w:color w:val="E87722"/>
                <w:sz w:val="28"/>
              </w:rPr>
              <w:br/>
              <w:t>Individual</w:t>
            </w:r>
            <w:r w:rsidR="00D127DE">
              <w:rPr>
                <w:rFonts w:eastAsia="Calibri"/>
                <w:color w:val="E87722"/>
                <w:sz w:val="28"/>
              </w:rPr>
              <w:t xml:space="preserve">/ Company </w:t>
            </w:r>
            <w:r>
              <w:rPr>
                <w:rFonts w:eastAsia="Calibri"/>
                <w:color w:val="E87722"/>
                <w:sz w:val="28"/>
              </w:rPr>
              <w:t>Consultant</w:t>
            </w:r>
          </w:p>
        </w:tc>
      </w:tr>
      <w:tr w:rsidR="00604DB6" w14:paraId="46C40AB1" w14:textId="77777777">
        <w:trPr>
          <w:jc w:val="center"/>
        </w:trPr>
        <w:tc>
          <w:tcPr>
            <w:tcW w:w="9406" w:type="dxa"/>
            <w:tcBorders>
              <w:top w:val="nil"/>
              <w:left w:val="nil"/>
              <w:bottom w:val="nil"/>
              <w:right w:val="nil"/>
            </w:tcBorders>
            <w:shd w:val="clear" w:color="auto" w:fill="008080"/>
          </w:tcPr>
          <w:p w14:paraId="4FF6B67F" w14:textId="77777777" w:rsidR="00604DB6" w:rsidRDefault="00000000">
            <w:pPr>
              <w:jc w:val="center"/>
            </w:pPr>
            <w:r>
              <w:rPr>
                <w:rFonts w:eastAsia="Calibri"/>
                <w:b/>
                <w:color w:val="FFFFFF"/>
                <w:sz w:val="24"/>
              </w:rPr>
              <w:t>Development and Piloting of Digital Data Collection Tools</w:t>
            </w:r>
            <w:r>
              <w:rPr>
                <w:rFonts w:eastAsia="Calibri"/>
                <w:b/>
                <w:color w:val="FFFFFF"/>
                <w:sz w:val="24"/>
              </w:rPr>
              <w:br/>
              <w:t>for CSOs to Monitor Harmful Practice Incidents and Response Services</w:t>
            </w:r>
          </w:p>
        </w:tc>
      </w:tr>
    </w:tbl>
    <w:p w14:paraId="69DAF8FF" w14:textId="77777777" w:rsidR="00604DB6" w:rsidRDefault="00000000">
      <w:pPr>
        <w:spacing w:before="40" w:after="120"/>
        <w:jc w:val="center"/>
      </w:pPr>
      <w:r>
        <w:rPr>
          <w:rFonts w:eastAsia="Calibri"/>
          <w:color w:val="E87722"/>
          <w:sz w:val="16"/>
        </w:rPr>
        <w:t>________________________________________________________________________________</w:t>
      </w:r>
    </w:p>
    <w:tbl>
      <w:tblPr>
        <w:tblW w:w="0" w:type="auto"/>
        <w:jc w:val="center"/>
        <w:tblLook w:val="04A0" w:firstRow="1" w:lastRow="0" w:firstColumn="1" w:lastColumn="0" w:noHBand="0" w:noVBand="1"/>
      </w:tblPr>
      <w:tblGrid>
        <w:gridCol w:w="9406"/>
      </w:tblGrid>
      <w:tr w:rsidR="00604DB6" w14:paraId="48D3F9BB" w14:textId="77777777">
        <w:trPr>
          <w:jc w:val="center"/>
        </w:trPr>
        <w:tc>
          <w:tcPr>
            <w:tcW w:w="9406" w:type="dxa"/>
            <w:tcBorders>
              <w:top w:val="single" w:sz="12" w:space="0" w:color="E87722"/>
              <w:left w:val="single" w:sz="12" w:space="0" w:color="E87722"/>
              <w:bottom w:val="single" w:sz="12" w:space="0" w:color="E87722"/>
              <w:right w:val="single" w:sz="12" w:space="0" w:color="E87722"/>
            </w:tcBorders>
            <w:shd w:val="clear" w:color="auto" w:fill="FFF8F0"/>
          </w:tcPr>
          <w:p w14:paraId="1DE362AD" w14:textId="77777777" w:rsidR="00441162" w:rsidRDefault="00EC3607" w:rsidP="00441162">
            <w:pPr>
              <w:rPr>
                <w:rFonts w:eastAsia="Calibri"/>
                <w:b/>
              </w:rPr>
            </w:pPr>
            <w:r>
              <w:rPr>
                <w:rFonts w:eastAsia="Calibri"/>
                <w:b/>
                <w:color w:val="E87722"/>
              </w:rPr>
              <w:t xml:space="preserve"> VACANCY AT A GLANCE</w:t>
            </w:r>
          </w:p>
          <w:p w14:paraId="683564D3" w14:textId="33272DB5" w:rsidR="00441162" w:rsidRDefault="00000000" w:rsidP="00441162">
            <w:pPr>
              <w:rPr>
                <w:rFonts w:eastAsia="Calibri"/>
                <w:sz w:val="20"/>
              </w:rPr>
            </w:pPr>
            <w:r>
              <w:rPr>
                <w:rFonts w:eastAsia="Calibri"/>
                <w:sz w:val="20"/>
              </w:rPr>
              <w:t xml:space="preserve">Duty Station: </w:t>
            </w:r>
            <w:r w:rsidR="005F375E">
              <w:rPr>
                <w:rFonts w:eastAsia="Calibri"/>
                <w:sz w:val="20"/>
              </w:rPr>
              <w:t xml:space="preserve"> </w:t>
            </w:r>
            <w:r w:rsidR="00F71B78">
              <w:rPr>
                <w:rFonts w:eastAsia="Calibri"/>
                <w:sz w:val="20"/>
              </w:rPr>
              <w:t xml:space="preserve">Dhobley-Lower </w:t>
            </w:r>
            <w:proofErr w:type="spellStart"/>
            <w:r w:rsidR="00F71B78">
              <w:rPr>
                <w:rFonts w:eastAsia="Calibri"/>
                <w:sz w:val="20"/>
              </w:rPr>
              <w:t>Jub</w:t>
            </w:r>
            <w:r w:rsidR="00441162">
              <w:rPr>
                <w:rFonts w:eastAsia="Calibri"/>
                <w:sz w:val="20"/>
              </w:rPr>
              <w:t>aland</w:t>
            </w:r>
            <w:proofErr w:type="spellEnd"/>
          </w:p>
          <w:p w14:paraId="4207E1AF" w14:textId="77777777" w:rsidR="00441162" w:rsidRDefault="00000000" w:rsidP="00441162">
            <w:pPr>
              <w:rPr>
                <w:rFonts w:eastAsia="Calibri"/>
                <w:sz w:val="20"/>
              </w:rPr>
            </w:pPr>
            <w:r>
              <w:rPr>
                <w:rFonts w:eastAsia="Calibri"/>
                <w:sz w:val="20"/>
              </w:rPr>
              <w:t xml:space="preserve">Duration:        </w:t>
            </w:r>
            <w:r w:rsidR="00FA2A69">
              <w:rPr>
                <w:rFonts w:eastAsia="Calibri"/>
                <w:sz w:val="20"/>
              </w:rPr>
              <w:t>33 days</w:t>
            </w:r>
            <w:r>
              <w:rPr>
                <w:rFonts w:eastAsia="Calibri"/>
                <w:sz w:val="20"/>
              </w:rPr>
              <w:t xml:space="preserve">    </w:t>
            </w:r>
          </w:p>
          <w:p w14:paraId="11DA2C58" w14:textId="64F87134" w:rsidR="00441162" w:rsidRDefault="00000000" w:rsidP="00441162">
            <w:pPr>
              <w:rPr>
                <w:rFonts w:eastAsia="Calibri"/>
                <w:sz w:val="20"/>
              </w:rPr>
            </w:pPr>
            <w:r>
              <w:rPr>
                <w:rFonts w:eastAsia="Calibri"/>
                <w:sz w:val="20"/>
              </w:rPr>
              <w:t>Application Deadline</w:t>
            </w:r>
            <w:r w:rsidR="00C712E0">
              <w:rPr>
                <w:rFonts w:eastAsia="Calibri"/>
                <w:sz w:val="20"/>
              </w:rPr>
              <w:t>: 9th</w:t>
            </w:r>
            <w:r w:rsidR="00441162">
              <w:rPr>
                <w:rFonts w:eastAsia="Calibri"/>
                <w:sz w:val="20"/>
              </w:rPr>
              <w:t xml:space="preserve"> July 2026</w:t>
            </w:r>
          </w:p>
          <w:p w14:paraId="18C3EAEC" w14:textId="2A1BB1F5" w:rsidR="00604DB6" w:rsidRDefault="00000000" w:rsidP="00441162">
            <w:r>
              <w:rPr>
                <w:rFonts w:eastAsia="Calibri"/>
                <w:sz w:val="20"/>
              </w:rPr>
              <w:t>Expected Start Date:</w:t>
            </w:r>
            <w:r w:rsidR="00C712E0">
              <w:rPr>
                <w:rFonts w:eastAsia="Calibri"/>
                <w:sz w:val="20"/>
              </w:rPr>
              <w:t>19</w:t>
            </w:r>
            <w:r w:rsidR="00C712E0" w:rsidRPr="00C712E0">
              <w:rPr>
                <w:rFonts w:eastAsia="Calibri"/>
                <w:sz w:val="20"/>
                <w:vertAlign w:val="superscript"/>
              </w:rPr>
              <w:t>th</w:t>
            </w:r>
            <w:r w:rsidR="00C712E0">
              <w:rPr>
                <w:rFonts w:eastAsia="Calibri"/>
                <w:sz w:val="20"/>
              </w:rPr>
              <w:t xml:space="preserve"> July 2026</w:t>
            </w:r>
          </w:p>
          <w:p w14:paraId="2F180DBE" w14:textId="4F3FA80D" w:rsidR="00604DB6" w:rsidRDefault="00000000">
            <w:pPr>
              <w:spacing w:after="60"/>
            </w:pPr>
            <w:r>
              <w:rPr>
                <w:rFonts w:eastAsia="Calibri"/>
                <w:sz w:val="20"/>
              </w:rPr>
              <w:t xml:space="preserve">Contract Type:        Individual </w:t>
            </w:r>
            <w:r w:rsidR="00F71B78">
              <w:rPr>
                <w:rFonts w:eastAsia="Calibri"/>
                <w:sz w:val="20"/>
              </w:rPr>
              <w:t>/Company</w:t>
            </w:r>
          </w:p>
        </w:tc>
      </w:tr>
    </w:tbl>
    <w:p w14:paraId="07204E42" w14:textId="77777777" w:rsidR="00604DB6" w:rsidRDefault="00604DB6"/>
    <w:tbl>
      <w:tblPr>
        <w:tblW w:w="0" w:type="auto"/>
        <w:tblLook w:val="04A0" w:firstRow="1" w:lastRow="0" w:firstColumn="1" w:lastColumn="0" w:noHBand="0" w:noVBand="1"/>
      </w:tblPr>
      <w:tblGrid>
        <w:gridCol w:w="9406"/>
      </w:tblGrid>
      <w:tr w:rsidR="00604DB6" w14:paraId="70994DD8" w14:textId="77777777">
        <w:tc>
          <w:tcPr>
            <w:tcW w:w="9406" w:type="dxa"/>
            <w:tcBorders>
              <w:top w:val="nil"/>
              <w:left w:val="nil"/>
              <w:bottom w:val="nil"/>
              <w:right w:val="nil"/>
            </w:tcBorders>
            <w:shd w:val="clear" w:color="auto" w:fill="003366"/>
          </w:tcPr>
          <w:p w14:paraId="7D66ECD9" w14:textId="77777777" w:rsidR="00604DB6" w:rsidRDefault="00000000">
            <w:r>
              <w:rPr>
                <w:rFonts w:eastAsia="Calibri"/>
                <w:b/>
                <w:color w:val="FFFFFF"/>
                <w:sz w:val="24"/>
              </w:rPr>
              <w:t xml:space="preserve">  1. BACKGROUND AND CONTEXT</w:t>
            </w:r>
          </w:p>
        </w:tc>
      </w:tr>
    </w:tbl>
    <w:p w14:paraId="444C51FA" w14:textId="46F1B9F6" w:rsidR="00604DB6" w:rsidRDefault="00F71B78">
      <w:pPr>
        <w:spacing w:after="160" w:line="288" w:lineRule="auto"/>
      </w:pPr>
      <w:r>
        <w:rPr>
          <w:rFonts w:eastAsia="Calibri"/>
        </w:rPr>
        <w:t>SSW</w:t>
      </w:r>
      <w:r w:rsidR="00FA2A69">
        <w:rPr>
          <w:rFonts w:eastAsia="Calibri"/>
        </w:rPr>
        <w:t>C</w:t>
      </w:r>
      <w:r>
        <w:rPr>
          <w:rFonts w:eastAsia="Calibri"/>
        </w:rPr>
        <w:t xml:space="preserve">, in partnership with AMREF, is implementing a multi-year </w:t>
      </w:r>
      <w:proofErr w:type="spellStart"/>
      <w:r>
        <w:rPr>
          <w:rFonts w:eastAsia="Calibri"/>
        </w:rPr>
        <w:t>programme</w:t>
      </w:r>
      <w:proofErr w:type="spellEnd"/>
      <w:r>
        <w:rPr>
          <w:rFonts w:eastAsia="Calibri"/>
        </w:rPr>
        <w:t xml:space="preserve"> to eliminate harmful practices, including Female Genital Mutilation (FGM) and Child, Early and Forced Marriage (CEFM), in </w:t>
      </w:r>
      <w:r w:rsidR="005F375E">
        <w:rPr>
          <w:rFonts w:eastAsia="Calibri"/>
        </w:rPr>
        <w:t xml:space="preserve">Dhobley district, </w:t>
      </w:r>
      <w:proofErr w:type="spellStart"/>
      <w:r w:rsidR="005F375E">
        <w:rPr>
          <w:rFonts w:eastAsia="Calibri"/>
        </w:rPr>
        <w:t>Jubaland</w:t>
      </w:r>
      <w:proofErr w:type="spellEnd"/>
      <w:r>
        <w:rPr>
          <w:rFonts w:eastAsia="Calibri"/>
        </w:rPr>
        <w:t>. Despite legislative frameworks prohibiting these practices, comprehensive, real-time data on incident reporting and service response remains fragmented and largely paper-based, limiting the ability of Civil Society Organizations (CSOs) to advocate effectively, allocate resources, and hold duty-bearers accountable.</w:t>
      </w:r>
      <w:r>
        <w:rPr>
          <w:rFonts w:eastAsia="Calibri"/>
        </w:rPr>
        <w:br/>
      </w:r>
      <w:r>
        <w:rPr>
          <w:rFonts w:eastAsia="Calibri"/>
        </w:rPr>
        <w:br/>
        <w:t>Current monitoring systems rely on periodic surveys and ad-hoc reporting, creating significant delays in identifying trends, hotspots, and gaps in service provision. The absence of standardized digital tools prevents CSOs from capturing disaggregated data (by age, sex, disability, geographic location, and type of harmful practice) and sharing information securely with relevant authorities and service providers.</w:t>
      </w:r>
      <w:r>
        <w:rPr>
          <w:rFonts w:eastAsia="Calibri"/>
        </w:rPr>
        <w:br/>
      </w:r>
      <w:r>
        <w:rPr>
          <w:rFonts w:eastAsia="Calibri"/>
        </w:rPr>
        <w:br/>
        <w:t>This consultancy aims to address this critical gap by developing and piloting user-friendly, secure, and context-appropriate digital data collection tools that enable CSOs to systematically monitor harmful practice incidents and the availability, accessibility, and quality of response services (health, psychosocial, legal, and shelter).</w:t>
      </w:r>
    </w:p>
    <w:tbl>
      <w:tblPr>
        <w:tblW w:w="0" w:type="auto"/>
        <w:tblLook w:val="04A0" w:firstRow="1" w:lastRow="0" w:firstColumn="1" w:lastColumn="0" w:noHBand="0" w:noVBand="1"/>
      </w:tblPr>
      <w:tblGrid>
        <w:gridCol w:w="9406"/>
      </w:tblGrid>
      <w:tr w:rsidR="00604DB6" w14:paraId="5AEECF1A" w14:textId="77777777">
        <w:tc>
          <w:tcPr>
            <w:tcW w:w="9406" w:type="dxa"/>
            <w:tcBorders>
              <w:top w:val="nil"/>
              <w:left w:val="nil"/>
              <w:bottom w:val="nil"/>
              <w:right w:val="nil"/>
            </w:tcBorders>
            <w:shd w:val="clear" w:color="auto" w:fill="003366"/>
          </w:tcPr>
          <w:p w14:paraId="3EF1BD0F" w14:textId="77777777" w:rsidR="00604DB6" w:rsidRDefault="00000000">
            <w:r>
              <w:rPr>
                <w:rFonts w:eastAsia="Calibri"/>
                <w:b/>
                <w:color w:val="FFFFFF"/>
                <w:sz w:val="24"/>
              </w:rPr>
              <w:t xml:space="preserve">  2. OBJECTIVES OF THE CONSULTANCY</w:t>
            </w:r>
          </w:p>
        </w:tc>
      </w:tr>
    </w:tbl>
    <w:p w14:paraId="168BEC71" w14:textId="77777777" w:rsidR="00604DB6" w:rsidRDefault="00000000">
      <w:pPr>
        <w:spacing w:after="60"/>
      </w:pPr>
      <w:r>
        <w:rPr>
          <w:rFonts w:eastAsia="Calibri"/>
          <w:b/>
          <w:color w:val="008080"/>
          <w:sz w:val="24"/>
        </w:rPr>
        <w:t>Overall Objective:</w:t>
      </w:r>
    </w:p>
    <w:p w14:paraId="10FA7648" w14:textId="6130CAA3" w:rsidR="00604DB6" w:rsidRDefault="00000000">
      <w:pPr>
        <w:spacing w:after="160" w:line="288" w:lineRule="auto"/>
      </w:pPr>
      <w:r>
        <w:rPr>
          <w:rFonts w:eastAsia="Calibri"/>
        </w:rPr>
        <w:t xml:space="preserve">To design, develop, and pilot-test digital data collection tools and a corresponding data management system that </w:t>
      </w:r>
      <w:r w:rsidR="00EC3607">
        <w:rPr>
          <w:rFonts w:eastAsia="Calibri"/>
        </w:rPr>
        <w:t>empowers</w:t>
      </w:r>
      <w:r>
        <w:rPr>
          <w:rFonts w:eastAsia="Calibri"/>
        </w:rPr>
        <w:t xml:space="preserve"> CSOs to monitor harmful practice incidents and response services in real-time, in compliance with data protection and ethical standards.</w:t>
      </w:r>
    </w:p>
    <w:p w14:paraId="739869B7" w14:textId="77777777" w:rsidR="00604DB6" w:rsidRDefault="00000000">
      <w:pPr>
        <w:spacing w:after="60"/>
      </w:pPr>
      <w:r>
        <w:rPr>
          <w:rFonts w:eastAsia="Calibri"/>
          <w:b/>
          <w:color w:val="008080"/>
          <w:sz w:val="24"/>
        </w:rPr>
        <w:lastRenderedPageBreak/>
        <w:t>Specific Objectives:</w:t>
      </w:r>
    </w:p>
    <w:p w14:paraId="391C8F36" w14:textId="77777777" w:rsidR="00604DB6" w:rsidRDefault="00000000">
      <w:pPr>
        <w:pStyle w:val="ListBullet"/>
        <w:spacing w:after="80"/>
      </w:pPr>
      <w:r>
        <w:rPr>
          <w:rFonts w:eastAsia="Calibri"/>
        </w:rPr>
        <w:t>Conduct a comprehensive needs assessment and landscape analysis of existing digital data collection platforms used by CSOs in the target region for child protection and gender-based violence (GBV) monitoring.</w:t>
      </w:r>
    </w:p>
    <w:p w14:paraId="17AEDCAB" w14:textId="77777777" w:rsidR="00604DB6" w:rsidRDefault="00000000">
      <w:pPr>
        <w:pStyle w:val="ListBullet"/>
        <w:spacing w:after="80"/>
      </w:pPr>
      <w:r>
        <w:rPr>
          <w:rFonts w:eastAsia="Calibri"/>
        </w:rPr>
        <w:t>Develop a modular digital data collection toolkit (mobile application and web dashboard) tailored to CSO capacities, incorporating offline functionality, multi-language support, and end-to-end encryption.</w:t>
      </w:r>
    </w:p>
    <w:p w14:paraId="2A543BA1" w14:textId="77777777" w:rsidR="00604DB6" w:rsidRDefault="00000000">
      <w:pPr>
        <w:pStyle w:val="ListBullet"/>
        <w:spacing w:after="80"/>
      </w:pPr>
      <w:r>
        <w:rPr>
          <w:rFonts w:eastAsia="Calibri"/>
        </w:rPr>
        <w:t>Design standardized data collection forms and indicators aligned with global frameworks (UNICEF Child Protection Monitoring Framework, UNFPA GBV Information Management System, SDG Indicator 5.3).</w:t>
      </w:r>
    </w:p>
    <w:p w14:paraId="608184CC" w14:textId="77777777" w:rsidR="00604DB6" w:rsidRDefault="00000000">
      <w:pPr>
        <w:pStyle w:val="ListBullet"/>
        <w:spacing w:after="80"/>
      </w:pPr>
      <w:r>
        <w:rPr>
          <w:rFonts w:eastAsia="Calibri"/>
        </w:rPr>
        <w:t>Develop a comprehensive user manual, training curriculum, and data protection protocol for CSO staff.</w:t>
      </w:r>
    </w:p>
    <w:p w14:paraId="63D066D7" w14:textId="77777777" w:rsidR="00604DB6" w:rsidRDefault="00000000">
      <w:pPr>
        <w:pStyle w:val="ListBullet"/>
        <w:spacing w:after="80"/>
      </w:pPr>
      <w:r>
        <w:rPr>
          <w:rFonts w:eastAsia="Calibri"/>
        </w:rPr>
        <w:t>Build the capacity of CSO focal points and government counterparts on tool deployment, data analysis, and ethical data use.</w:t>
      </w:r>
    </w:p>
    <w:tbl>
      <w:tblPr>
        <w:tblW w:w="0" w:type="auto"/>
        <w:tblLook w:val="04A0" w:firstRow="1" w:lastRow="0" w:firstColumn="1" w:lastColumn="0" w:noHBand="0" w:noVBand="1"/>
      </w:tblPr>
      <w:tblGrid>
        <w:gridCol w:w="9558"/>
      </w:tblGrid>
      <w:tr w:rsidR="00604DB6" w14:paraId="01E1579D" w14:textId="77777777" w:rsidTr="00087E84">
        <w:tc>
          <w:tcPr>
            <w:tcW w:w="9558" w:type="dxa"/>
            <w:tcBorders>
              <w:top w:val="nil"/>
              <w:left w:val="nil"/>
              <w:bottom w:val="nil"/>
              <w:right w:val="nil"/>
            </w:tcBorders>
            <w:shd w:val="clear" w:color="auto" w:fill="003366"/>
          </w:tcPr>
          <w:p w14:paraId="4D06330D" w14:textId="77777777" w:rsidR="00604DB6" w:rsidRDefault="00000000">
            <w:r>
              <w:rPr>
                <w:rFonts w:eastAsia="Calibri"/>
                <w:b/>
                <w:color w:val="FFFFFF"/>
                <w:sz w:val="24"/>
              </w:rPr>
              <w:t xml:space="preserve">  3. SCOPE OF WORK AND KEY DELIVERABLES</w:t>
            </w:r>
          </w:p>
        </w:tc>
      </w:tr>
    </w:tbl>
    <w:tbl>
      <w:tblPr>
        <w:tblW w:w="0" w:type="auto"/>
        <w:jc w:val="center"/>
        <w:tblLayout w:type="fixed"/>
        <w:tblLook w:val="04A0" w:firstRow="1" w:lastRow="0" w:firstColumn="1" w:lastColumn="0" w:noHBand="0" w:noVBand="1"/>
      </w:tblPr>
      <w:tblGrid>
        <w:gridCol w:w="3327"/>
        <w:gridCol w:w="6210"/>
      </w:tblGrid>
      <w:tr w:rsidR="00087E84" w14:paraId="74372AB2" w14:textId="77777777" w:rsidTr="00087E84">
        <w:trPr>
          <w:jc w:val="center"/>
        </w:trPr>
        <w:tc>
          <w:tcPr>
            <w:tcW w:w="3327" w:type="dxa"/>
            <w:tcBorders>
              <w:top w:val="single" w:sz="4" w:space="0" w:color="CCCCCC"/>
              <w:left w:val="single" w:sz="4" w:space="0" w:color="CCCCCC"/>
              <w:bottom w:val="single" w:sz="4" w:space="0" w:color="CCCCCC"/>
              <w:right w:val="single" w:sz="4" w:space="0" w:color="CCCCCC"/>
            </w:tcBorders>
            <w:shd w:val="clear" w:color="auto" w:fill="003366"/>
            <w:vAlign w:val="center"/>
          </w:tcPr>
          <w:p w14:paraId="3CEAC600" w14:textId="0B5146E2" w:rsidR="00087E84" w:rsidRPr="00087E84" w:rsidRDefault="00087E84" w:rsidP="00087E84">
            <w:pPr>
              <w:jc w:val="center"/>
              <w:rPr>
                <w:color w:val="auto"/>
              </w:rPr>
            </w:pPr>
            <w:r w:rsidRPr="00087E84">
              <w:rPr>
                <w:b/>
                <w:bCs/>
                <w:color w:val="auto"/>
              </w:rPr>
              <w:t>Deliverable</w:t>
            </w:r>
          </w:p>
        </w:tc>
        <w:tc>
          <w:tcPr>
            <w:tcW w:w="6210" w:type="dxa"/>
            <w:tcBorders>
              <w:top w:val="single" w:sz="4" w:space="0" w:color="CCCCCC"/>
              <w:left w:val="single" w:sz="4" w:space="0" w:color="CCCCCC"/>
              <w:bottom w:val="single" w:sz="4" w:space="0" w:color="CCCCCC"/>
              <w:right w:val="single" w:sz="4" w:space="0" w:color="CCCCCC"/>
            </w:tcBorders>
            <w:shd w:val="clear" w:color="auto" w:fill="003366"/>
            <w:vAlign w:val="center"/>
          </w:tcPr>
          <w:p w14:paraId="15BACF0A" w14:textId="0508804D" w:rsidR="00087E84" w:rsidRPr="00087E84" w:rsidRDefault="00087E84" w:rsidP="00087E84">
            <w:pPr>
              <w:jc w:val="center"/>
              <w:rPr>
                <w:color w:val="auto"/>
              </w:rPr>
            </w:pPr>
            <w:r w:rsidRPr="00087E84">
              <w:rPr>
                <w:b/>
                <w:bCs/>
                <w:color w:val="auto"/>
              </w:rPr>
              <w:t>Description</w:t>
            </w:r>
          </w:p>
        </w:tc>
      </w:tr>
      <w:tr w:rsidR="00087E84" w14:paraId="646E8E31" w14:textId="77777777" w:rsidTr="00087E84">
        <w:trPr>
          <w:jc w:val="center"/>
        </w:trPr>
        <w:tc>
          <w:tcPr>
            <w:tcW w:w="3327" w:type="dxa"/>
            <w:tcBorders>
              <w:top w:val="single" w:sz="4" w:space="0" w:color="CCCCCC"/>
              <w:left w:val="single" w:sz="4" w:space="0" w:color="CCCCCC"/>
              <w:bottom w:val="single" w:sz="4" w:space="0" w:color="CCCCCC"/>
              <w:right w:val="single" w:sz="4" w:space="0" w:color="CCCCCC"/>
            </w:tcBorders>
            <w:shd w:val="clear" w:color="auto" w:fill="FFFFFF"/>
            <w:vAlign w:val="center"/>
          </w:tcPr>
          <w:p w14:paraId="036DE7FA" w14:textId="37CB6D49" w:rsidR="00087E84" w:rsidRDefault="00087E84" w:rsidP="00944E26">
            <w:pPr>
              <w:jc w:val="center"/>
            </w:pPr>
            <w:r>
              <w:rPr>
                <w:rStyle w:val="Strong"/>
              </w:rPr>
              <w:t>Inception Report</w:t>
            </w:r>
          </w:p>
        </w:tc>
        <w:tc>
          <w:tcPr>
            <w:tcW w:w="6210" w:type="dxa"/>
            <w:tcBorders>
              <w:top w:val="single" w:sz="4" w:space="0" w:color="CCCCCC"/>
              <w:left w:val="single" w:sz="4" w:space="0" w:color="CCCCCC"/>
              <w:bottom w:val="single" w:sz="4" w:space="0" w:color="CCCCCC"/>
              <w:right w:val="single" w:sz="4" w:space="0" w:color="CCCCCC"/>
            </w:tcBorders>
            <w:shd w:val="clear" w:color="auto" w:fill="FFFFFF"/>
            <w:vAlign w:val="center"/>
          </w:tcPr>
          <w:p w14:paraId="2A69184B" w14:textId="48B67715" w:rsidR="00087E84" w:rsidRDefault="00087E84" w:rsidP="00944E26">
            <w:r>
              <w:t>Work plan, methodology, stakeholder engagement plan, and implementation timeline.</w:t>
            </w:r>
          </w:p>
        </w:tc>
      </w:tr>
      <w:tr w:rsidR="00087E84" w14:paraId="3031184E" w14:textId="77777777" w:rsidTr="00087E84">
        <w:trPr>
          <w:jc w:val="center"/>
        </w:trPr>
        <w:tc>
          <w:tcPr>
            <w:tcW w:w="3327" w:type="dxa"/>
            <w:tcBorders>
              <w:top w:val="single" w:sz="4" w:space="0" w:color="CCCCCC"/>
              <w:left w:val="single" w:sz="4" w:space="0" w:color="CCCCCC"/>
              <w:bottom w:val="single" w:sz="4" w:space="0" w:color="CCCCCC"/>
              <w:right w:val="single" w:sz="4" w:space="0" w:color="CCCCCC"/>
            </w:tcBorders>
            <w:shd w:val="clear" w:color="auto" w:fill="F5F5F5"/>
            <w:vAlign w:val="center"/>
          </w:tcPr>
          <w:p w14:paraId="0051EC82" w14:textId="643D7267" w:rsidR="00087E84" w:rsidRDefault="00087E84" w:rsidP="00944E26">
            <w:pPr>
              <w:jc w:val="center"/>
            </w:pPr>
            <w:r>
              <w:rPr>
                <w:rStyle w:val="Strong"/>
              </w:rPr>
              <w:t>Needs Assessment Report</w:t>
            </w:r>
          </w:p>
        </w:tc>
        <w:tc>
          <w:tcPr>
            <w:tcW w:w="6210" w:type="dxa"/>
            <w:tcBorders>
              <w:top w:val="single" w:sz="4" w:space="0" w:color="CCCCCC"/>
              <w:left w:val="single" w:sz="4" w:space="0" w:color="CCCCCC"/>
              <w:bottom w:val="single" w:sz="4" w:space="0" w:color="CCCCCC"/>
              <w:right w:val="single" w:sz="4" w:space="0" w:color="CCCCCC"/>
            </w:tcBorders>
            <w:shd w:val="clear" w:color="auto" w:fill="F5F5F5"/>
            <w:vAlign w:val="center"/>
          </w:tcPr>
          <w:p w14:paraId="61EAF09F" w14:textId="4BB4C1EF" w:rsidR="00087E84" w:rsidRDefault="00087E84" w:rsidP="00944E26">
            <w:r>
              <w:t>Summary of consultations, existing systems review, data gaps, and functional requirements.</w:t>
            </w:r>
          </w:p>
        </w:tc>
      </w:tr>
      <w:tr w:rsidR="00087E84" w14:paraId="719F4762" w14:textId="77777777" w:rsidTr="00087E84">
        <w:trPr>
          <w:jc w:val="center"/>
        </w:trPr>
        <w:tc>
          <w:tcPr>
            <w:tcW w:w="3327" w:type="dxa"/>
            <w:tcBorders>
              <w:top w:val="single" w:sz="4" w:space="0" w:color="CCCCCC"/>
              <w:left w:val="single" w:sz="4" w:space="0" w:color="CCCCCC"/>
              <w:bottom w:val="single" w:sz="4" w:space="0" w:color="CCCCCC"/>
              <w:right w:val="single" w:sz="4" w:space="0" w:color="CCCCCC"/>
            </w:tcBorders>
            <w:shd w:val="clear" w:color="auto" w:fill="FFFFFF"/>
            <w:vAlign w:val="center"/>
          </w:tcPr>
          <w:p w14:paraId="667E38CF" w14:textId="18BA87F3" w:rsidR="00087E84" w:rsidRDefault="00087E84" w:rsidP="00944E26">
            <w:pPr>
              <w:jc w:val="center"/>
            </w:pPr>
            <w:r>
              <w:rPr>
                <w:rStyle w:val="Strong"/>
              </w:rPr>
              <w:t>Digital Data Collection Package</w:t>
            </w:r>
          </w:p>
        </w:tc>
        <w:tc>
          <w:tcPr>
            <w:tcW w:w="6210" w:type="dxa"/>
            <w:tcBorders>
              <w:top w:val="single" w:sz="4" w:space="0" w:color="CCCCCC"/>
              <w:left w:val="single" w:sz="4" w:space="0" w:color="CCCCCC"/>
              <w:bottom w:val="single" w:sz="4" w:space="0" w:color="CCCCCC"/>
              <w:right w:val="single" w:sz="4" w:space="0" w:color="CCCCCC"/>
            </w:tcBorders>
            <w:shd w:val="clear" w:color="auto" w:fill="FFFFFF"/>
            <w:vAlign w:val="center"/>
          </w:tcPr>
          <w:p w14:paraId="13563A30" w14:textId="1F34C860" w:rsidR="00087E84" w:rsidRDefault="00087E84" w:rsidP="00944E26">
            <w:r>
              <w:t>Fully configured digital forms, database, dashboards, reporting templates, and user accounts.</w:t>
            </w:r>
          </w:p>
        </w:tc>
      </w:tr>
      <w:tr w:rsidR="00087E84" w14:paraId="7C6A6888" w14:textId="77777777" w:rsidTr="00087E84">
        <w:trPr>
          <w:jc w:val="center"/>
        </w:trPr>
        <w:tc>
          <w:tcPr>
            <w:tcW w:w="3327" w:type="dxa"/>
            <w:tcBorders>
              <w:top w:val="single" w:sz="4" w:space="0" w:color="CCCCCC"/>
              <w:left w:val="single" w:sz="4" w:space="0" w:color="CCCCCC"/>
              <w:bottom w:val="single" w:sz="4" w:space="0" w:color="CCCCCC"/>
              <w:right w:val="single" w:sz="4" w:space="0" w:color="CCCCCC"/>
            </w:tcBorders>
            <w:shd w:val="clear" w:color="auto" w:fill="F5F5F5"/>
            <w:vAlign w:val="center"/>
          </w:tcPr>
          <w:p w14:paraId="0682793C" w14:textId="2A178B51" w:rsidR="00087E84" w:rsidRDefault="00087E84" w:rsidP="00944E26">
            <w:pPr>
              <w:jc w:val="center"/>
            </w:pPr>
            <w:r>
              <w:rPr>
                <w:rStyle w:val="Strong"/>
              </w:rPr>
              <w:t>Data Management SOPs</w:t>
            </w:r>
          </w:p>
        </w:tc>
        <w:tc>
          <w:tcPr>
            <w:tcW w:w="6210" w:type="dxa"/>
            <w:tcBorders>
              <w:top w:val="single" w:sz="4" w:space="0" w:color="CCCCCC"/>
              <w:left w:val="single" w:sz="4" w:space="0" w:color="CCCCCC"/>
              <w:bottom w:val="single" w:sz="4" w:space="0" w:color="CCCCCC"/>
              <w:right w:val="single" w:sz="4" w:space="0" w:color="CCCCCC"/>
            </w:tcBorders>
            <w:shd w:val="clear" w:color="auto" w:fill="F5F5F5"/>
            <w:vAlign w:val="center"/>
          </w:tcPr>
          <w:p w14:paraId="5671A55F" w14:textId="48C6318D" w:rsidR="00087E84" w:rsidRDefault="00087E84" w:rsidP="00944E26">
            <w:r>
              <w:t>Standard Operating Procedures covering data collection, quality assurance, confidentiality, referral tracking, and data protection.</w:t>
            </w:r>
          </w:p>
        </w:tc>
      </w:tr>
      <w:tr w:rsidR="00087E84" w14:paraId="5716F113" w14:textId="77777777" w:rsidTr="00087E84">
        <w:trPr>
          <w:jc w:val="center"/>
        </w:trPr>
        <w:tc>
          <w:tcPr>
            <w:tcW w:w="3327" w:type="dxa"/>
            <w:tcBorders>
              <w:top w:val="single" w:sz="4" w:space="0" w:color="CCCCCC"/>
              <w:left w:val="single" w:sz="4" w:space="0" w:color="CCCCCC"/>
              <w:bottom w:val="single" w:sz="4" w:space="0" w:color="CCCCCC"/>
              <w:right w:val="single" w:sz="4" w:space="0" w:color="CCCCCC"/>
            </w:tcBorders>
            <w:shd w:val="clear" w:color="auto" w:fill="FFFFFF"/>
            <w:vAlign w:val="center"/>
          </w:tcPr>
          <w:p w14:paraId="19391F6C" w14:textId="07A391C8" w:rsidR="00087E84" w:rsidRDefault="00087E84" w:rsidP="00944E26">
            <w:pPr>
              <w:jc w:val="center"/>
            </w:pPr>
            <w:r>
              <w:rPr>
                <w:rStyle w:val="Strong"/>
              </w:rPr>
              <w:t>Training Materials</w:t>
            </w:r>
          </w:p>
        </w:tc>
        <w:tc>
          <w:tcPr>
            <w:tcW w:w="6210" w:type="dxa"/>
            <w:tcBorders>
              <w:top w:val="single" w:sz="4" w:space="0" w:color="CCCCCC"/>
              <w:left w:val="single" w:sz="4" w:space="0" w:color="CCCCCC"/>
              <w:bottom w:val="single" w:sz="4" w:space="0" w:color="CCCCCC"/>
              <w:right w:val="single" w:sz="4" w:space="0" w:color="CCCCCC"/>
            </w:tcBorders>
            <w:shd w:val="clear" w:color="auto" w:fill="FFFFFF"/>
            <w:vAlign w:val="center"/>
          </w:tcPr>
          <w:p w14:paraId="3F772902" w14:textId="3D49D968" w:rsidR="00087E84" w:rsidRDefault="00087E84" w:rsidP="00944E26">
            <w:r>
              <w:t>Training curriculum, facilitator guide, participant manual, quick reference guide, and presentation slides.</w:t>
            </w:r>
          </w:p>
        </w:tc>
      </w:tr>
      <w:tr w:rsidR="00087E84" w14:paraId="36088AFE" w14:textId="77777777" w:rsidTr="00087E84">
        <w:trPr>
          <w:jc w:val="center"/>
        </w:trPr>
        <w:tc>
          <w:tcPr>
            <w:tcW w:w="3327" w:type="dxa"/>
            <w:tcBorders>
              <w:top w:val="single" w:sz="4" w:space="0" w:color="CCCCCC"/>
              <w:left w:val="single" w:sz="4" w:space="0" w:color="CCCCCC"/>
              <w:bottom w:val="single" w:sz="4" w:space="0" w:color="CCCCCC"/>
              <w:right w:val="single" w:sz="4" w:space="0" w:color="CCCCCC"/>
            </w:tcBorders>
            <w:shd w:val="clear" w:color="auto" w:fill="F5F5F5"/>
            <w:vAlign w:val="center"/>
          </w:tcPr>
          <w:p w14:paraId="262B5685" w14:textId="37939FE7" w:rsidR="00087E84" w:rsidRDefault="00087E84" w:rsidP="00944E26">
            <w:pPr>
              <w:jc w:val="center"/>
            </w:pPr>
            <w:r>
              <w:rPr>
                <w:rStyle w:val="Strong"/>
              </w:rPr>
              <w:t>Training Report</w:t>
            </w:r>
          </w:p>
        </w:tc>
        <w:tc>
          <w:tcPr>
            <w:tcW w:w="6210" w:type="dxa"/>
            <w:tcBorders>
              <w:top w:val="single" w:sz="4" w:space="0" w:color="CCCCCC"/>
              <w:left w:val="single" w:sz="4" w:space="0" w:color="CCCCCC"/>
              <w:bottom w:val="single" w:sz="4" w:space="0" w:color="CCCCCC"/>
              <w:right w:val="single" w:sz="4" w:space="0" w:color="CCCCCC"/>
            </w:tcBorders>
            <w:shd w:val="clear" w:color="auto" w:fill="F5F5F5"/>
            <w:vAlign w:val="center"/>
          </w:tcPr>
          <w:p w14:paraId="67A30661" w14:textId="43AE2091" w:rsidR="00087E84" w:rsidRDefault="00087E84" w:rsidP="00944E26">
            <w:r>
              <w:t>Documentation of training conducted, participant attendance, and pre/post-training assessment results.</w:t>
            </w:r>
          </w:p>
        </w:tc>
      </w:tr>
      <w:tr w:rsidR="00087E84" w14:paraId="6F79E12F" w14:textId="77777777" w:rsidTr="00087E84">
        <w:trPr>
          <w:jc w:val="center"/>
        </w:trPr>
        <w:tc>
          <w:tcPr>
            <w:tcW w:w="3327" w:type="dxa"/>
            <w:tcBorders>
              <w:top w:val="single" w:sz="4" w:space="0" w:color="CCCCCC"/>
              <w:left w:val="single" w:sz="4" w:space="0" w:color="CCCCCC"/>
              <w:bottom w:val="single" w:sz="4" w:space="0" w:color="CCCCCC"/>
              <w:right w:val="single" w:sz="4" w:space="0" w:color="CCCCCC"/>
            </w:tcBorders>
            <w:shd w:val="clear" w:color="auto" w:fill="FFFFFF"/>
            <w:vAlign w:val="center"/>
          </w:tcPr>
          <w:p w14:paraId="00C8F377" w14:textId="2B472EE2" w:rsidR="00087E84" w:rsidRDefault="00087E84" w:rsidP="00944E26">
            <w:pPr>
              <w:jc w:val="center"/>
            </w:pPr>
            <w:r>
              <w:rPr>
                <w:rStyle w:val="Strong"/>
              </w:rPr>
              <w:t>Pilot Implementation Report</w:t>
            </w:r>
          </w:p>
        </w:tc>
        <w:tc>
          <w:tcPr>
            <w:tcW w:w="6210" w:type="dxa"/>
            <w:tcBorders>
              <w:top w:val="single" w:sz="4" w:space="0" w:color="CCCCCC"/>
              <w:left w:val="single" w:sz="4" w:space="0" w:color="CCCCCC"/>
              <w:bottom w:val="single" w:sz="4" w:space="0" w:color="CCCCCC"/>
              <w:right w:val="single" w:sz="4" w:space="0" w:color="CCCCCC"/>
            </w:tcBorders>
            <w:shd w:val="clear" w:color="auto" w:fill="FFFFFF"/>
            <w:vAlign w:val="center"/>
          </w:tcPr>
          <w:p w14:paraId="3830D0C2" w14:textId="42B1194B" w:rsidR="00087E84" w:rsidRDefault="00087E84" w:rsidP="00944E26">
            <w:r>
              <w:t>Findings from pilot testing, user feedback, system performance, challenges encountered, and recommendations for improvement.</w:t>
            </w:r>
          </w:p>
        </w:tc>
      </w:tr>
      <w:tr w:rsidR="00087E84" w14:paraId="7FFF2676" w14:textId="77777777" w:rsidTr="00087E84">
        <w:trPr>
          <w:jc w:val="center"/>
        </w:trPr>
        <w:tc>
          <w:tcPr>
            <w:tcW w:w="3327" w:type="dxa"/>
            <w:tcBorders>
              <w:top w:val="single" w:sz="4" w:space="0" w:color="CCCCCC"/>
              <w:left w:val="single" w:sz="4" w:space="0" w:color="CCCCCC"/>
              <w:bottom w:val="single" w:sz="4" w:space="0" w:color="CCCCCC"/>
              <w:right w:val="single" w:sz="4" w:space="0" w:color="CCCCCC"/>
            </w:tcBorders>
            <w:shd w:val="clear" w:color="auto" w:fill="F5F5F5"/>
            <w:vAlign w:val="center"/>
          </w:tcPr>
          <w:p w14:paraId="31C0C4E8" w14:textId="4AB34E8B" w:rsidR="00087E84" w:rsidRDefault="00087E84" w:rsidP="00944E26">
            <w:pPr>
              <w:jc w:val="center"/>
            </w:pPr>
            <w:r>
              <w:rPr>
                <w:rStyle w:val="Strong"/>
              </w:rPr>
              <w:t>Revised Digital System</w:t>
            </w:r>
          </w:p>
        </w:tc>
        <w:tc>
          <w:tcPr>
            <w:tcW w:w="6210" w:type="dxa"/>
            <w:tcBorders>
              <w:top w:val="single" w:sz="4" w:space="0" w:color="CCCCCC"/>
              <w:left w:val="single" w:sz="4" w:space="0" w:color="CCCCCC"/>
              <w:bottom w:val="single" w:sz="4" w:space="0" w:color="CCCCCC"/>
              <w:right w:val="single" w:sz="4" w:space="0" w:color="CCCCCC"/>
            </w:tcBorders>
            <w:shd w:val="clear" w:color="auto" w:fill="F5F5F5"/>
            <w:vAlign w:val="center"/>
          </w:tcPr>
          <w:p w14:paraId="4B4EC36F" w14:textId="2E183978" w:rsidR="00087E84" w:rsidRDefault="00087E84" w:rsidP="00944E26">
            <w:r>
              <w:t>Updated digital tools incorporating feedback from the pilot phase.</w:t>
            </w:r>
          </w:p>
        </w:tc>
      </w:tr>
      <w:tr w:rsidR="00087E84" w14:paraId="6420DBA3" w14:textId="77777777" w:rsidTr="00087E84">
        <w:trPr>
          <w:jc w:val="center"/>
        </w:trPr>
        <w:tc>
          <w:tcPr>
            <w:tcW w:w="3327" w:type="dxa"/>
            <w:tcBorders>
              <w:top w:val="single" w:sz="4" w:space="0" w:color="CCCCCC"/>
              <w:left w:val="single" w:sz="4" w:space="0" w:color="CCCCCC"/>
              <w:bottom w:val="single" w:sz="4" w:space="0" w:color="CCCCCC"/>
              <w:right w:val="single" w:sz="4" w:space="0" w:color="CCCCCC"/>
            </w:tcBorders>
            <w:shd w:val="clear" w:color="auto" w:fill="FFFFFF"/>
            <w:vAlign w:val="center"/>
          </w:tcPr>
          <w:p w14:paraId="7A736EAE" w14:textId="21876754" w:rsidR="00087E84" w:rsidRDefault="00087E84" w:rsidP="00944E26">
            <w:pPr>
              <w:jc w:val="center"/>
            </w:pPr>
            <w:r>
              <w:rPr>
                <w:rStyle w:val="Strong"/>
              </w:rPr>
              <w:t>Final Consultancy Report</w:t>
            </w:r>
          </w:p>
        </w:tc>
        <w:tc>
          <w:tcPr>
            <w:tcW w:w="6210" w:type="dxa"/>
            <w:tcBorders>
              <w:top w:val="single" w:sz="4" w:space="0" w:color="CCCCCC"/>
              <w:left w:val="single" w:sz="4" w:space="0" w:color="CCCCCC"/>
              <w:bottom w:val="single" w:sz="4" w:space="0" w:color="CCCCCC"/>
              <w:right w:val="single" w:sz="4" w:space="0" w:color="CCCCCC"/>
            </w:tcBorders>
            <w:shd w:val="clear" w:color="auto" w:fill="FFFFFF"/>
            <w:vAlign w:val="center"/>
          </w:tcPr>
          <w:p w14:paraId="396A061E" w14:textId="59C6AC99" w:rsidR="00087E84" w:rsidRDefault="00087E84" w:rsidP="00944E26">
            <w:r>
              <w:t>Comprehensive report documenting activities undertaken, outputs achieved, lessons learned, recommendations, and sustainability plan.</w:t>
            </w:r>
          </w:p>
        </w:tc>
      </w:tr>
    </w:tbl>
    <w:p w14:paraId="2A11CD1A" w14:textId="77777777" w:rsidR="00604DB6" w:rsidRDefault="00604DB6"/>
    <w:tbl>
      <w:tblPr>
        <w:tblW w:w="0" w:type="auto"/>
        <w:tblLook w:val="04A0" w:firstRow="1" w:lastRow="0" w:firstColumn="1" w:lastColumn="0" w:noHBand="0" w:noVBand="1"/>
      </w:tblPr>
      <w:tblGrid>
        <w:gridCol w:w="9406"/>
      </w:tblGrid>
      <w:tr w:rsidR="00604DB6" w14:paraId="0BB4BBE0" w14:textId="77777777">
        <w:tc>
          <w:tcPr>
            <w:tcW w:w="9406" w:type="dxa"/>
            <w:tcBorders>
              <w:top w:val="nil"/>
              <w:left w:val="nil"/>
              <w:bottom w:val="nil"/>
              <w:right w:val="nil"/>
            </w:tcBorders>
            <w:shd w:val="clear" w:color="auto" w:fill="003366"/>
          </w:tcPr>
          <w:p w14:paraId="07F63750" w14:textId="77777777" w:rsidR="00604DB6" w:rsidRDefault="00000000">
            <w:r>
              <w:rPr>
                <w:rFonts w:eastAsia="Calibri"/>
                <w:b/>
                <w:color w:val="FFFFFF"/>
                <w:sz w:val="24"/>
              </w:rPr>
              <w:lastRenderedPageBreak/>
              <w:t xml:space="preserve">  4. METHODOLOGY</w:t>
            </w:r>
          </w:p>
        </w:tc>
      </w:tr>
    </w:tbl>
    <w:p w14:paraId="1B0D03D0" w14:textId="77777777" w:rsidR="0081513F" w:rsidRPr="0081513F" w:rsidRDefault="0081513F" w:rsidP="0081513F">
      <w:pPr>
        <w:pStyle w:val="ListParagraph"/>
        <w:numPr>
          <w:ilvl w:val="0"/>
          <w:numId w:val="14"/>
        </w:numPr>
        <w:spacing w:after="160" w:line="288" w:lineRule="auto"/>
        <w:rPr>
          <w:rFonts w:eastAsia="Calibri"/>
        </w:rPr>
      </w:pPr>
      <w:r w:rsidRPr="0081513F">
        <w:rPr>
          <w:rFonts w:eastAsia="Calibri"/>
        </w:rPr>
        <w:t>The consultant will adopt a participatory and user-centered approach that combines desk review, stakeholder consultations, digital tool development, pilot testing, and capacity building. Existing monitoring systems, project documents, and stakeholder needs will be reviewed to inform the design of practical and user-friendly digital data collection tools.</w:t>
      </w:r>
    </w:p>
    <w:p w14:paraId="5D57F7D6" w14:textId="77777777" w:rsidR="0081513F" w:rsidRPr="0081513F" w:rsidRDefault="0081513F" w:rsidP="0081513F">
      <w:pPr>
        <w:pStyle w:val="ListParagraph"/>
        <w:numPr>
          <w:ilvl w:val="0"/>
          <w:numId w:val="14"/>
        </w:numPr>
        <w:spacing w:after="160" w:line="288" w:lineRule="auto"/>
        <w:rPr>
          <w:rFonts w:eastAsia="Calibri"/>
        </w:rPr>
      </w:pPr>
      <w:r w:rsidRPr="0081513F">
        <w:rPr>
          <w:rFonts w:eastAsia="Calibri"/>
        </w:rPr>
        <w:t xml:space="preserve">The consultant will develop and pilot the digital tools using an appropriate platform (e.g., </w:t>
      </w:r>
      <w:proofErr w:type="spellStart"/>
      <w:r w:rsidRPr="0081513F">
        <w:rPr>
          <w:rFonts w:eastAsia="Calibri"/>
        </w:rPr>
        <w:t>KoboToolbox</w:t>
      </w:r>
      <w:proofErr w:type="spellEnd"/>
      <w:r w:rsidRPr="0081513F">
        <w:rPr>
          <w:rFonts w:eastAsia="Calibri"/>
        </w:rPr>
        <w:t xml:space="preserve"> or ODK), incorporating data validation features and reporting functions. Feedback from the pilot will be used to refine the tools before finalization.</w:t>
      </w:r>
    </w:p>
    <w:p w14:paraId="12CBAC34" w14:textId="77777777" w:rsidR="0081513F" w:rsidRPr="0081513F" w:rsidRDefault="0081513F" w:rsidP="0081513F">
      <w:pPr>
        <w:pStyle w:val="ListParagraph"/>
        <w:numPr>
          <w:ilvl w:val="0"/>
          <w:numId w:val="14"/>
        </w:numPr>
        <w:spacing w:after="160" w:line="288" w:lineRule="auto"/>
        <w:rPr>
          <w:rFonts w:eastAsia="Calibri"/>
        </w:rPr>
      </w:pPr>
      <w:r w:rsidRPr="0081513F">
        <w:rPr>
          <w:rFonts w:eastAsia="Calibri"/>
        </w:rPr>
        <w:t xml:space="preserve">Training will be provided to CSO staff on the use of </w:t>
      </w:r>
      <w:proofErr w:type="gramStart"/>
      <w:r w:rsidRPr="0081513F">
        <w:rPr>
          <w:rFonts w:eastAsia="Calibri"/>
        </w:rPr>
        <w:t>the digital</w:t>
      </w:r>
      <w:proofErr w:type="gramEnd"/>
      <w:r w:rsidRPr="0081513F">
        <w:rPr>
          <w:rFonts w:eastAsia="Calibri"/>
        </w:rPr>
        <w:t xml:space="preserve"> tools, data quality assurance, and ethical data management. Throughout the assignment, the consultant will ensure compliance with data protection, confidentiality, and survivor-centered principles to support the safe and effective management of sensitive information.</w:t>
      </w:r>
    </w:p>
    <w:tbl>
      <w:tblPr>
        <w:tblW w:w="0" w:type="auto"/>
        <w:tblLook w:val="04A0" w:firstRow="1" w:lastRow="0" w:firstColumn="1" w:lastColumn="0" w:noHBand="0" w:noVBand="1"/>
      </w:tblPr>
      <w:tblGrid>
        <w:gridCol w:w="9406"/>
      </w:tblGrid>
      <w:tr w:rsidR="00604DB6" w14:paraId="6072B17F" w14:textId="77777777">
        <w:tc>
          <w:tcPr>
            <w:tcW w:w="9406" w:type="dxa"/>
            <w:tcBorders>
              <w:top w:val="nil"/>
              <w:left w:val="nil"/>
              <w:bottom w:val="nil"/>
              <w:right w:val="nil"/>
            </w:tcBorders>
            <w:shd w:val="clear" w:color="auto" w:fill="003366"/>
          </w:tcPr>
          <w:p w14:paraId="7F404A63" w14:textId="77777777" w:rsidR="00604DB6" w:rsidRDefault="00000000">
            <w:r>
              <w:rPr>
                <w:rFonts w:eastAsia="Calibri"/>
                <w:b/>
                <w:color w:val="FFFFFF"/>
                <w:sz w:val="24"/>
              </w:rPr>
              <w:t xml:space="preserve">  5. QUALIFICATIONS AND EXPERIENCE</w:t>
            </w:r>
          </w:p>
        </w:tc>
      </w:tr>
    </w:tbl>
    <w:p w14:paraId="5EC25E2C" w14:textId="3E406180" w:rsidR="00604DB6" w:rsidRPr="0081513F" w:rsidRDefault="0081513F">
      <w:pPr>
        <w:spacing w:after="60"/>
        <w:rPr>
          <w:rFonts w:eastAsia="Calibri"/>
          <w:bCs/>
          <w:color w:val="auto"/>
          <w:sz w:val="24"/>
        </w:rPr>
      </w:pPr>
      <w:r w:rsidRPr="0081513F">
        <w:rPr>
          <w:rFonts w:eastAsia="Calibri"/>
          <w:bCs/>
          <w:color w:val="auto"/>
          <w:sz w:val="24"/>
        </w:rPr>
        <w:t>The consultant should possess the following qualifications and experience:</w:t>
      </w:r>
    </w:p>
    <w:p w14:paraId="49429A7C" w14:textId="1289219F" w:rsidR="00A77263" w:rsidRPr="00A77263" w:rsidRDefault="00A77263" w:rsidP="00A77263">
      <w:pPr>
        <w:pStyle w:val="ListParagraph"/>
        <w:numPr>
          <w:ilvl w:val="0"/>
          <w:numId w:val="13"/>
        </w:numPr>
        <w:spacing w:after="60"/>
        <w:rPr>
          <w:rFonts w:eastAsia="Calibri"/>
        </w:rPr>
      </w:pPr>
      <w:r w:rsidRPr="00A77263">
        <w:rPr>
          <w:rFonts w:eastAsia="Calibri"/>
        </w:rPr>
        <w:t>An advanced university degree (</w:t>
      </w:r>
      <w:r w:rsidR="00D127DE" w:rsidRPr="00A77263">
        <w:rPr>
          <w:rFonts w:eastAsia="Calibri"/>
        </w:rPr>
        <w:t>master’s</w:t>
      </w:r>
      <w:r w:rsidRPr="00A77263">
        <w:rPr>
          <w:rFonts w:eastAsia="Calibri"/>
        </w:rPr>
        <w:t xml:space="preserve"> preferred) in Information Technology, Computer Science, Information Systems, Monitoring and Evaluation, Data Science, Public Health, Social Sciences, Development Studies, or a related field. </w:t>
      </w:r>
    </w:p>
    <w:p w14:paraId="1B2D6DDA" w14:textId="4A8DA836" w:rsidR="00A77263" w:rsidRPr="00A77263" w:rsidRDefault="00A77263" w:rsidP="00A77263">
      <w:pPr>
        <w:pStyle w:val="ListParagraph"/>
        <w:numPr>
          <w:ilvl w:val="0"/>
          <w:numId w:val="13"/>
        </w:numPr>
        <w:spacing w:after="60"/>
        <w:rPr>
          <w:rFonts w:eastAsia="Calibri"/>
        </w:rPr>
      </w:pPr>
      <w:r w:rsidRPr="00A77263">
        <w:rPr>
          <w:rFonts w:eastAsia="Calibri"/>
        </w:rPr>
        <w:t xml:space="preserve">At least </w:t>
      </w:r>
      <w:r w:rsidRPr="00A77263">
        <w:rPr>
          <w:rFonts w:eastAsia="Calibri"/>
          <w:b/>
          <w:bCs/>
        </w:rPr>
        <w:t>5 years of demonstrated experience</w:t>
      </w:r>
      <w:r w:rsidRPr="00A77263">
        <w:rPr>
          <w:rFonts w:eastAsia="Calibri"/>
        </w:rPr>
        <w:t xml:space="preserve"> in designing and implementing digital data collection and monitoring systems for development or humanitarian </w:t>
      </w:r>
      <w:proofErr w:type="spellStart"/>
      <w:r w:rsidRPr="00A77263">
        <w:rPr>
          <w:rFonts w:eastAsia="Calibri"/>
        </w:rPr>
        <w:t>programmes</w:t>
      </w:r>
      <w:proofErr w:type="spellEnd"/>
      <w:r w:rsidRPr="00A77263">
        <w:rPr>
          <w:rFonts w:eastAsia="Calibri"/>
        </w:rPr>
        <w:t xml:space="preserve">. </w:t>
      </w:r>
    </w:p>
    <w:p w14:paraId="38DBFFC4" w14:textId="7790BDF7" w:rsidR="00A77263" w:rsidRPr="00A77263" w:rsidRDefault="00A77263" w:rsidP="00A77263">
      <w:pPr>
        <w:pStyle w:val="ListParagraph"/>
        <w:numPr>
          <w:ilvl w:val="0"/>
          <w:numId w:val="13"/>
        </w:numPr>
        <w:spacing w:after="60"/>
        <w:rPr>
          <w:rFonts w:eastAsia="Calibri"/>
        </w:rPr>
      </w:pPr>
      <w:r w:rsidRPr="00A77263">
        <w:rPr>
          <w:rFonts w:eastAsia="Calibri"/>
        </w:rPr>
        <w:t xml:space="preserve">Proven experience in developing digital data collection tools using platforms such as </w:t>
      </w:r>
      <w:proofErr w:type="spellStart"/>
      <w:r w:rsidRPr="00A77263">
        <w:rPr>
          <w:rFonts w:eastAsia="Calibri"/>
          <w:b/>
          <w:bCs/>
        </w:rPr>
        <w:t>KoboToolbox</w:t>
      </w:r>
      <w:proofErr w:type="spellEnd"/>
      <w:r w:rsidRPr="00A77263">
        <w:rPr>
          <w:rFonts w:eastAsia="Calibri"/>
          <w:b/>
          <w:bCs/>
        </w:rPr>
        <w:t xml:space="preserve">, ODK, </w:t>
      </w:r>
      <w:proofErr w:type="spellStart"/>
      <w:r w:rsidRPr="00A77263">
        <w:rPr>
          <w:rFonts w:eastAsia="Calibri"/>
          <w:b/>
          <w:bCs/>
        </w:rPr>
        <w:t>CommCare</w:t>
      </w:r>
      <w:proofErr w:type="spellEnd"/>
      <w:r w:rsidRPr="00A77263">
        <w:rPr>
          <w:rFonts w:eastAsia="Calibri"/>
          <w:b/>
          <w:bCs/>
        </w:rPr>
        <w:t xml:space="preserve">, </w:t>
      </w:r>
      <w:proofErr w:type="spellStart"/>
      <w:r w:rsidRPr="00A77263">
        <w:rPr>
          <w:rFonts w:eastAsia="Calibri"/>
          <w:b/>
          <w:bCs/>
        </w:rPr>
        <w:t>SurveyCTO</w:t>
      </w:r>
      <w:proofErr w:type="spellEnd"/>
      <w:r w:rsidRPr="00A77263">
        <w:rPr>
          <w:rFonts w:eastAsia="Calibri"/>
        </w:rPr>
        <w:t xml:space="preserve">, or similar applications. </w:t>
      </w:r>
    </w:p>
    <w:p w14:paraId="6AEFC530" w14:textId="1709AAF1" w:rsidR="00A77263" w:rsidRPr="00A77263" w:rsidRDefault="00A77263" w:rsidP="00A77263">
      <w:pPr>
        <w:pStyle w:val="ListParagraph"/>
        <w:numPr>
          <w:ilvl w:val="0"/>
          <w:numId w:val="13"/>
        </w:numPr>
        <w:spacing w:after="60"/>
        <w:rPr>
          <w:rFonts w:eastAsia="Calibri"/>
        </w:rPr>
      </w:pPr>
      <w:r w:rsidRPr="00A77263">
        <w:rPr>
          <w:rFonts w:eastAsia="Calibri"/>
        </w:rPr>
        <w:t xml:space="preserve">Experience in monitoring and evaluation (M&amp;E), data management, and information systems for </w:t>
      </w:r>
      <w:proofErr w:type="spellStart"/>
      <w:r w:rsidRPr="00A77263">
        <w:rPr>
          <w:rFonts w:eastAsia="Calibri"/>
        </w:rPr>
        <w:t>programmes</w:t>
      </w:r>
      <w:proofErr w:type="spellEnd"/>
      <w:r w:rsidRPr="00A77263">
        <w:rPr>
          <w:rFonts w:eastAsia="Calibri"/>
        </w:rPr>
        <w:t xml:space="preserve"> related to protection, gender, child protection, GBV, FGM/C, or other social development sectors. </w:t>
      </w:r>
    </w:p>
    <w:p w14:paraId="0B6CAB1E" w14:textId="688307C0" w:rsidR="00A77263" w:rsidRPr="00A77263" w:rsidRDefault="00A77263" w:rsidP="00A77263">
      <w:pPr>
        <w:pStyle w:val="ListParagraph"/>
        <w:numPr>
          <w:ilvl w:val="0"/>
          <w:numId w:val="13"/>
        </w:numPr>
        <w:spacing w:after="60"/>
        <w:rPr>
          <w:rFonts w:eastAsia="Calibri"/>
        </w:rPr>
      </w:pPr>
      <w:r w:rsidRPr="00A77263">
        <w:rPr>
          <w:rFonts w:eastAsia="Calibri"/>
        </w:rPr>
        <w:t xml:space="preserve">Demonstrated experience in conducting capacity-building and training for CSOs, government institutions, or community-based organizations. </w:t>
      </w:r>
    </w:p>
    <w:p w14:paraId="62ED47EE" w14:textId="2599F044" w:rsidR="00A77263" w:rsidRPr="00A77263" w:rsidRDefault="00A77263" w:rsidP="00A77263">
      <w:pPr>
        <w:pStyle w:val="ListParagraph"/>
        <w:numPr>
          <w:ilvl w:val="0"/>
          <w:numId w:val="13"/>
        </w:numPr>
        <w:spacing w:after="60"/>
        <w:rPr>
          <w:rFonts w:eastAsia="Calibri"/>
        </w:rPr>
      </w:pPr>
      <w:r w:rsidRPr="00A77263">
        <w:rPr>
          <w:rFonts w:eastAsia="Calibri"/>
        </w:rPr>
        <w:t xml:space="preserve">Experience working in Somalia or other fragile and humanitarian contexts is highly desirable. </w:t>
      </w:r>
    </w:p>
    <w:p w14:paraId="631B16CA" w14:textId="77777777" w:rsidR="00A77263" w:rsidRPr="00A77263" w:rsidRDefault="00A77263" w:rsidP="00A77263">
      <w:pPr>
        <w:pStyle w:val="ListParagraph"/>
        <w:numPr>
          <w:ilvl w:val="0"/>
          <w:numId w:val="13"/>
        </w:numPr>
        <w:spacing w:after="60"/>
        <w:rPr>
          <w:rFonts w:eastAsia="Calibri"/>
        </w:rPr>
      </w:pPr>
      <w:r w:rsidRPr="00A77263">
        <w:rPr>
          <w:rFonts w:eastAsia="Calibri"/>
        </w:rPr>
        <w:t>Excellent report writing, analytical, and communication skills in English. Knowledge of Somali is an added advantage.</w:t>
      </w:r>
    </w:p>
    <w:p w14:paraId="0DE75B44" w14:textId="1A73AF5C" w:rsidR="00604DB6" w:rsidRDefault="00000000" w:rsidP="00A77263">
      <w:pPr>
        <w:spacing w:after="60"/>
      </w:pPr>
      <w:r>
        <w:rPr>
          <w:rFonts w:eastAsia="Calibri"/>
          <w:b/>
          <w:color w:val="008080"/>
          <w:sz w:val="24"/>
        </w:rPr>
        <w:t>Technical Competencies:</w:t>
      </w:r>
    </w:p>
    <w:p w14:paraId="4FC6A2AA" w14:textId="3B111FBE" w:rsidR="00A77263" w:rsidRPr="00A77263" w:rsidRDefault="00A77263" w:rsidP="00A77263">
      <w:pPr>
        <w:pStyle w:val="ListParagraph"/>
        <w:numPr>
          <w:ilvl w:val="0"/>
          <w:numId w:val="12"/>
        </w:numPr>
        <w:spacing w:after="60"/>
        <w:rPr>
          <w:rFonts w:eastAsia="Calibri"/>
        </w:rPr>
      </w:pPr>
      <w:r w:rsidRPr="00A77263">
        <w:rPr>
          <w:rFonts w:eastAsia="Calibri"/>
        </w:rPr>
        <w:t xml:space="preserve">Demonstrated expertise in designing and deploying digital data collection systems using platforms such as </w:t>
      </w:r>
      <w:proofErr w:type="spellStart"/>
      <w:r w:rsidRPr="00A77263">
        <w:rPr>
          <w:rFonts w:eastAsia="Calibri"/>
          <w:b/>
          <w:bCs/>
        </w:rPr>
        <w:t>KoboToolbox</w:t>
      </w:r>
      <w:proofErr w:type="spellEnd"/>
      <w:r w:rsidRPr="00A77263">
        <w:rPr>
          <w:rFonts w:eastAsia="Calibri"/>
          <w:b/>
          <w:bCs/>
        </w:rPr>
        <w:t xml:space="preserve">, ODK, </w:t>
      </w:r>
      <w:proofErr w:type="spellStart"/>
      <w:r w:rsidRPr="00A77263">
        <w:rPr>
          <w:rFonts w:eastAsia="Calibri"/>
          <w:b/>
          <w:bCs/>
        </w:rPr>
        <w:t>CommCare</w:t>
      </w:r>
      <w:proofErr w:type="spellEnd"/>
      <w:r w:rsidRPr="00A77263">
        <w:rPr>
          <w:rFonts w:eastAsia="Calibri"/>
          <w:b/>
          <w:bCs/>
        </w:rPr>
        <w:t>, or similar applications</w:t>
      </w:r>
      <w:r w:rsidRPr="00A77263">
        <w:rPr>
          <w:rFonts w:eastAsia="Calibri"/>
        </w:rPr>
        <w:t xml:space="preserve">. </w:t>
      </w:r>
    </w:p>
    <w:p w14:paraId="125B3F22" w14:textId="6DE34923" w:rsidR="00A77263" w:rsidRPr="00A77263" w:rsidRDefault="00A77263" w:rsidP="00A77263">
      <w:pPr>
        <w:pStyle w:val="ListParagraph"/>
        <w:numPr>
          <w:ilvl w:val="0"/>
          <w:numId w:val="12"/>
        </w:numPr>
        <w:spacing w:after="60"/>
        <w:rPr>
          <w:rFonts w:eastAsia="Calibri"/>
        </w:rPr>
      </w:pPr>
      <w:r w:rsidRPr="00A77263">
        <w:rPr>
          <w:rFonts w:eastAsia="Calibri"/>
        </w:rPr>
        <w:t xml:space="preserve">Strong knowledge of </w:t>
      </w:r>
      <w:r w:rsidRPr="00A77263">
        <w:rPr>
          <w:rFonts w:eastAsia="Calibri"/>
          <w:b/>
          <w:bCs/>
        </w:rPr>
        <w:t>data management, data quality assurance, reporting, and dashboard development</w:t>
      </w:r>
      <w:r w:rsidRPr="00A77263">
        <w:rPr>
          <w:rFonts w:eastAsia="Calibri"/>
        </w:rPr>
        <w:t xml:space="preserve"> for monitoring and evaluation. </w:t>
      </w:r>
    </w:p>
    <w:p w14:paraId="5191B9FE" w14:textId="73951616" w:rsidR="00A77263" w:rsidRPr="00A77263" w:rsidRDefault="00A77263" w:rsidP="00A77263">
      <w:pPr>
        <w:pStyle w:val="ListParagraph"/>
        <w:numPr>
          <w:ilvl w:val="0"/>
          <w:numId w:val="12"/>
        </w:numPr>
        <w:spacing w:after="60"/>
        <w:rPr>
          <w:rFonts w:eastAsia="Calibri"/>
        </w:rPr>
      </w:pPr>
      <w:r w:rsidRPr="00A77263">
        <w:rPr>
          <w:rFonts w:eastAsia="Calibri"/>
        </w:rPr>
        <w:t xml:space="preserve">Good understanding of </w:t>
      </w:r>
      <w:r w:rsidRPr="00A77263">
        <w:rPr>
          <w:rFonts w:eastAsia="Calibri"/>
          <w:b/>
          <w:bCs/>
        </w:rPr>
        <w:t>data protection, confidentiality, ethical data collection, and safeguarding principles</w:t>
      </w:r>
      <w:r w:rsidRPr="00A77263">
        <w:rPr>
          <w:rFonts w:eastAsia="Calibri"/>
        </w:rPr>
        <w:t xml:space="preserve">, particularly when handling sensitive protection-related data. </w:t>
      </w:r>
    </w:p>
    <w:p w14:paraId="5E99196B" w14:textId="6C868C74" w:rsidR="00A77263" w:rsidRPr="00A77263" w:rsidRDefault="00A77263" w:rsidP="00A77263">
      <w:pPr>
        <w:pStyle w:val="ListParagraph"/>
        <w:numPr>
          <w:ilvl w:val="0"/>
          <w:numId w:val="12"/>
        </w:numPr>
        <w:spacing w:after="60"/>
        <w:rPr>
          <w:rFonts w:eastAsia="Calibri"/>
        </w:rPr>
      </w:pPr>
      <w:r w:rsidRPr="00A77263">
        <w:rPr>
          <w:rFonts w:eastAsia="Calibri"/>
        </w:rPr>
        <w:t xml:space="preserve">Proven ability to </w:t>
      </w:r>
      <w:r w:rsidRPr="00A77263">
        <w:rPr>
          <w:rFonts w:eastAsia="Calibri"/>
          <w:b/>
          <w:bCs/>
        </w:rPr>
        <w:t>develop user-friendly digital tools</w:t>
      </w:r>
      <w:r w:rsidRPr="00A77263">
        <w:rPr>
          <w:rFonts w:eastAsia="Calibri"/>
        </w:rPr>
        <w:t xml:space="preserve">, facilitate training, and provide technical support to CSOs and other stakeholders. </w:t>
      </w:r>
    </w:p>
    <w:p w14:paraId="42C32057" w14:textId="1BA96127" w:rsidR="00A77263" w:rsidRPr="00A77263" w:rsidRDefault="00A77263" w:rsidP="00A77263">
      <w:pPr>
        <w:pStyle w:val="ListParagraph"/>
        <w:numPr>
          <w:ilvl w:val="0"/>
          <w:numId w:val="12"/>
        </w:numPr>
        <w:spacing w:after="60"/>
        <w:rPr>
          <w:rFonts w:eastAsia="Calibri"/>
        </w:rPr>
      </w:pPr>
      <w:r w:rsidRPr="00A77263">
        <w:rPr>
          <w:rFonts w:eastAsia="Calibri"/>
        </w:rPr>
        <w:t xml:space="preserve">Strong analytical, communication, and problem-solving skills, with the ability to deliver high-quality </w:t>
      </w:r>
      <w:proofErr w:type="gramStart"/>
      <w:r w:rsidRPr="00A77263">
        <w:rPr>
          <w:rFonts w:eastAsia="Calibri"/>
        </w:rPr>
        <w:t>outputs</w:t>
      </w:r>
      <w:proofErr w:type="gramEnd"/>
      <w:r w:rsidRPr="00A77263">
        <w:rPr>
          <w:rFonts w:eastAsia="Calibri"/>
        </w:rPr>
        <w:t xml:space="preserve"> within agreed timelines.</w:t>
      </w:r>
    </w:p>
    <w:p w14:paraId="0840B659" w14:textId="5B1EAC41" w:rsidR="00604DB6" w:rsidRDefault="00000000" w:rsidP="00A77263">
      <w:pPr>
        <w:spacing w:after="60"/>
      </w:pPr>
      <w:r>
        <w:rPr>
          <w:rFonts w:eastAsia="Calibri"/>
          <w:b/>
          <w:color w:val="008080"/>
          <w:sz w:val="24"/>
        </w:rPr>
        <w:lastRenderedPageBreak/>
        <w:t>Language Requirements:</w:t>
      </w:r>
    </w:p>
    <w:p w14:paraId="35A01FCB" w14:textId="657A2CF2" w:rsidR="00604DB6" w:rsidRDefault="00000000">
      <w:pPr>
        <w:spacing w:after="120"/>
      </w:pPr>
      <w:r>
        <w:rPr>
          <w:rFonts w:eastAsia="Calibri"/>
        </w:rPr>
        <w:t>Fluency in English (written and spoken) is mandatory. Working knowledge of Somali,</w:t>
      </w:r>
      <w:r w:rsidR="00F71B78">
        <w:rPr>
          <w:rFonts w:eastAsia="Calibri"/>
        </w:rPr>
        <w:t xml:space="preserve"> is </w:t>
      </w:r>
      <w:r>
        <w:rPr>
          <w:rFonts w:eastAsia="Calibri"/>
        </w:rPr>
        <w:t>a strong asset.</w:t>
      </w:r>
    </w:p>
    <w:p w14:paraId="5AF06FB5" w14:textId="77777777" w:rsidR="00604DB6" w:rsidRDefault="00000000">
      <w:pPr>
        <w:spacing w:after="60"/>
      </w:pPr>
      <w:r>
        <w:rPr>
          <w:rFonts w:eastAsia="Calibri"/>
          <w:b/>
          <w:color w:val="008080"/>
          <w:sz w:val="24"/>
        </w:rPr>
        <w:t>Desirable:</w:t>
      </w:r>
    </w:p>
    <w:p w14:paraId="0BEB698D" w14:textId="0C8E73AD" w:rsidR="0081513F" w:rsidRPr="0081513F" w:rsidRDefault="0081513F" w:rsidP="0081513F">
      <w:pPr>
        <w:pStyle w:val="ListBullet"/>
        <w:numPr>
          <w:ilvl w:val="0"/>
          <w:numId w:val="15"/>
        </w:numPr>
        <w:spacing w:after="60"/>
        <w:rPr>
          <w:rFonts w:eastAsia="Calibri"/>
        </w:rPr>
      </w:pPr>
      <w:r w:rsidRPr="0081513F">
        <w:rPr>
          <w:rFonts w:eastAsia="Calibri"/>
        </w:rPr>
        <w:t xml:space="preserve">Experience working in </w:t>
      </w:r>
      <w:r w:rsidRPr="0081513F">
        <w:rPr>
          <w:rFonts w:eastAsia="Calibri"/>
          <w:b/>
          <w:bCs/>
        </w:rPr>
        <w:t>Somalia or similar humanitarian contexts</w:t>
      </w:r>
      <w:r w:rsidRPr="0081513F">
        <w:rPr>
          <w:rFonts w:eastAsia="Calibri"/>
        </w:rPr>
        <w:t xml:space="preserve">. </w:t>
      </w:r>
    </w:p>
    <w:p w14:paraId="613CFB58" w14:textId="0733C24F" w:rsidR="0081513F" w:rsidRPr="0081513F" w:rsidRDefault="0081513F" w:rsidP="0081513F">
      <w:pPr>
        <w:pStyle w:val="ListBullet"/>
        <w:numPr>
          <w:ilvl w:val="0"/>
          <w:numId w:val="15"/>
        </w:numPr>
        <w:spacing w:after="60"/>
        <w:rPr>
          <w:rFonts w:eastAsia="Calibri"/>
        </w:rPr>
      </w:pPr>
      <w:r w:rsidRPr="0081513F">
        <w:rPr>
          <w:rFonts w:eastAsia="Calibri"/>
        </w:rPr>
        <w:t xml:space="preserve">Experience with </w:t>
      </w:r>
      <w:r w:rsidRPr="0081513F">
        <w:rPr>
          <w:rFonts w:eastAsia="Calibri"/>
          <w:b/>
          <w:bCs/>
        </w:rPr>
        <w:t xml:space="preserve">FGM/C, GBV, child protection, or protection </w:t>
      </w:r>
      <w:proofErr w:type="spellStart"/>
      <w:r w:rsidRPr="0081513F">
        <w:rPr>
          <w:rFonts w:eastAsia="Calibri"/>
          <w:b/>
          <w:bCs/>
        </w:rPr>
        <w:t>programmes</w:t>
      </w:r>
      <w:proofErr w:type="spellEnd"/>
      <w:r w:rsidRPr="0081513F">
        <w:rPr>
          <w:rFonts w:eastAsia="Calibri"/>
        </w:rPr>
        <w:t xml:space="preserve">. </w:t>
      </w:r>
    </w:p>
    <w:p w14:paraId="7B8356DA" w14:textId="67B21315" w:rsidR="0081513F" w:rsidRPr="0081513F" w:rsidRDefault="0081513F" w:rsidP="0081513F">
      <w:pPr>
        <w:pStyle w:val="ListBullet"/>
        <w:numPr>
          <w:ilvl w:val="0"/>
          <w:numId w:val="15"/>
        </w:numPr>
        <w:spacing w:after="60"/>
        <w:rPr>
          <w:rFonts w:eastAsia="Calibri"/>
        </w:rPr>
      </w:pPr>
      <w:r w:rsidRPr="0081513F">
        <w:rPr>
          <w:rFonts w:eastAsia="Calibri"/>
        </w:rPr>
        <w:t xml:space="preserve">Knowledge of </w:t>
      </w:r>
      <w:r w:rsidRPr="0081513F">
        <w:rPr>
          <w:rFonts w:eastAsia="Calibri"/>
          <w:b/>
          <w:bCs/>
        </w:rPr>
        <w:t>MEAL frameworks</w:t>
      </w:r>
      <w:r w:rsidRPr="0081513F">
        <w:rPr>
          <w:rFonts w:eastAsia="Calibri"/>
        </w:rPr>
        <w:t xml:space="preserve"> and data visualization tools. </w:t>
      </w:r>
    </w:p>
    <w:p w14:paraId="78A7DB02" w14:textId="35930A49" w:rsidR="0081513F" w:rsidRPr="0081513F" w:rsidRDefault="0081513F" w:rsidP="0081513F">
      <w:pPr>
        <w:pStyle w:val="ListBullet"/>
        <w:numPr>
          <w:ilvl w:val="0"/>
          <w:numId w:val="15"/>
        </w:numPr>
        <w:spacing w:after="60"/>
        <w:rPr>
          <w:rFonts w:eastAsia="Calibri"/>
        </w:rPr>
      </w:pPr>
      <w:r w:rsidRPr="0081513F">
        <w:rPr>
          <w:rFonts w:eastAsia="Calibri"/>
        </w:rPr>
        <w:t xml:space="preserve">Strong facilitation and stakeholder engagement skills. </w:t>
      </w:r>
    </w:p>
    <w:p w14:paraId="5C3F1336" w14:textId="64FE5D72" w:rsidR="00604DB6" w:rsidRDefault="0081513F" w:rsidP="0081513F">
      <w:pPr>
        <w:pStyle w:val="ListBullet"/>
        <w:numPr>
          <w:ilvl w:val="0"/>
          <w:numId w:val="15"/>
        </w:numPr>
        <w:spacing w:after="60"/>
      </w:pPr>
      <w:r w:rsidRPr="0081513F">
        <w:rPr>
          <w:rFonts w:eastAsia="Calibri"/>
        </w:rPr>
        <w:t xml:space="preserve">Knowledge of </w:t>
      </w:r>
      <w:r w:rsidRPr="0081513F">
        <w:rPr>
          <w:rFonts w:eastAsia="Calibri"/>
          <w:b/>
          <w:bCs/>
        </w:rPr>
        <w:t>Somali language</w:t>
      </w:r>
      <w:r w:rsidRPr="0081513F">
        <w:rPr>
          <w:rFonts w:eastAsia="Calibri"/>
        </w:rPr>
        <w:t xml:space="preserve"> is an added advantage.</w:t>
      </w:r>
    </w:p>
    <w:tbl>
      <w:tblPr>
        <w:tblW w:w="0" w:type="auto"/>
        <w:tblLook w:val="04A0" w:firstRow="1" w:lastRow="0" w:firstColumn="1" w:lastColumn="0" w:noHBand="0" w:noVBand="1"/>
      </w:tblPr>
      <w:tblGrid>
        <w:gridCol w:w="9406"/>
      </w:tblGrid>
      <w:tr w:rsidR="00604DB6" w14:paraId="39ADCAEF" w14:textId="77777777">
        <w:tc>
          <w:tcPr>
            <w:tcW w:w="9406" w:type="dxa"/>
            <w:tcBorders>
              <w:top w:val="nil"/>
              <w:left w:val="nil"/>
              <w:bottom w:val="nil"/>
              <w:right w:val="nil"/>
            </w:tcBorders>
            <w:shd w:val="clear" w:color="auto" w:fill="003366"/>
          </w:tcPr>
          <w:p w14:paraId="7AD0DCA6" w14:textId="77777777" w:rsidR="00604DB6" w:rsidRDefault="00000000">
            <w:r>
              <w:rPr>
                <w:rFonts w:eastAsia="Calibri"/>
                <w:b/>
                <w:color w:val="FFFFFF"/>
                <w:sz w:val="24"/>
              </w:rPr>
              <w:t xml:space="preserve">  6. EVALUATION CRITERIA</w:t>
            </w:r>
          </w:p>
        </w:tc>
      </w:tr>
    </w:tbl>
    <w:tbl>
      <w:tblPr>
        <w:tblW w:w="0" w:type="auto"/>
        <w:jc w:val="center"/>
        <w:tblLayout w:type="fixed"/>
        <w:tblLook w:val="04A0" w:firstRow="1" w:lastRow="0" w:firstColumn="1" w:lastColumn="0" w:noHBand="0" w:noVBand="1"/>
      </w:tblPr>
      <w:tblGrid>
        <w:gridCol w:w="7150"/>
        <w:gridCol w:w="2268"/>
      </w:tblGrid>
      <w:tr w:rsidR="00604DB6" w14:paraId="7CC809A9" w14:textId="77777777" w:rsidTr="00FA2A69">
        <w:trPr>
          <w:jc w:val="center"/>
        </w:trPr>
        <w:tc>
          <w:tcPr>
            <w:tcW w:w="7150" w:type="dxa"/>
            <w:tcBorders>
              <w:top w:val="single" w:sz="4" w:space="0" w:color="CCCCCC"/>
              <w:left w:val="single" w:sz="4" w:space="0" w:color="CCCCCC"/>
              <w:bottom w:val="single" w:sz="4" w:space="0" w:color="CCCCCC"/>
              <w:right w:val="single" w:sz="4" w:space="0" w:color="CCCCCC"/>
            </w:tcBorders>
            <w:shd w:val="clear" w:color="auto" w:fill="008080"/>
            <w:vAlign w:val="center"/>
          </w:tcPr>
          <w:p w14:paraId="5B4F0BC3" w14:textId="77777777" w:rsidR="00604DB6" w:rsidRDefault="00000000">
            <w:pPr>
              <w:jc w:val="center"/>
            </w:pPr>
            <w:r>
              <w:rPr>
                <w:rFonts w:eastAsia="Calibri"/>
                <w:b/>
                <w:color w:val="FFFFFF"/>
              </w:rPr>
              <w:t>Criteria</w:t>
            </w:r>
          </w:p>
        </w:tc>
        <w:tc>
          <w:tcPr>
            <w:tcW w:w="2268" w:type="dxa"/>
            <w:tcBorders>
              <w:top w:val="single" w:sz="4" w:space="0" w:color="CCCCCC"/>
              <w:left w:val="single" w:sz="4" w:space="0" w:color="CCCCCC"/>
              <w:bottom w:val="single" w:sz="4" w:space="0" w:color="CCCCCC"/>
              <w:right w:val="single" w:sz="4" w:space="0" w:color="CCCCCC"/>
            </w:tcBorders>
            <w:shd w:val="clear" w:color="auto" w:fill="008080"/>
            <w:vAlign w:val="center"/>
          </w:tcPr>
          <w:p w14:paraId="028328FC" w14:textId="77777777" w:rsidR="00604DB6" w:rsidRDefault="00000000">
            <w:pPr>
              <w:jc w:val="center"/>
            </w:pPr>
            <w:r>
              <w:rPr>
                <w:rFonts w:eastAsia="Calibri"/>
                <w:b/>
                <w:color w:val="FFFFFF"/>
              </w:rPr>
              <w:t>Weight</w:t>
            </w:r>
          </w:p>
        </w:tc>
      </w:tr>
      <w:tr w:rsidR="00604DB6" w14:paraId="570DBBAD" w14:textId="77777777" w:rsidTr="00FA2A69">
        <w:trPr>
          <w:jc w:val="center"/>
        </w:trPr>
        <w:tc>
          <w:tcPr>
            <w:tcW w:w="7150" w:type="dxa"/>
            <w:tcBorders>
              <w:top w:val="single" w:sz="4" w:space="0" w:color="CCCCCC"/>
              <w:left w:val="single" w:sz="4" w:space="0" w:color="CCCCCC"/>
              <w:bottom w:val="single" w:sz="4" w:space="0" w:color="CCCCCC"/>
              <w:right w:val="single" w:sz="4" w:space="0" w:color="CCCCCC"/>
            </w:tcBorders>
            <w:shd w:val="clear" w:color="auto" w:fill="F5F5F5"/>
            <w:vAlign w:val="center"/>
          </w:tcPr>
          <w:p w14:paraId="2127887E" w14:textId="77777777" w:rsidR="00604DB6" w:rsidRDefault="00000000">
            <w:r>
              <w:rPr>
                <w:rFonts w:eastAsia="Calibri"/>
                <w:sz w:val="20"/>
              </w:rPr>
              <w:t>Relevant technical experience and qualifications</w:t>
            </w:r>
          </w:p>
        </w:tc>
        <w:tc>
          <w:tcPr>
            <w:tcW w:w="2268" w:type="dxa"/>
            <w:tcBorders>
              <w:top w:val="single" w:sz="4" w:space="0" w:color="CCCCCC"/>
              <w:left w:val="single" w:sz="4" w:space="0" w:color="CCCCCC"/>
              <w:bottom w:val="single" w:sz="4" w:space="0" w:color="CCCCCC"/>
              <w:right w:val="single" w:sz="4" w:space="0" w:color="CCCCCC"/>
            </w:tcBorders>
            <w:shd w:val="clear" w:color="auto" w:fill="F5F5F5"/>
            <w:vAlign w:val="center"/>
          </w:tcPr>
          <w:p w14:paraId="04AC0A24" w14:textId="77777777" w:rsidR="00604DB6" w:rsidRDefault="00000000">
            <w:pPr>
              <w:jc w:val="center"/>
            </w:pPr>
            <w:r>
              <w:rPr>
                <w:rFonts w:eastAsia="Calibri"/>
                <w:b/>
                <w:color w:val="003366"/>
                <w:sz w:val="20"/>
              </w:rPr>
              <w:t>30%</w:t>
            </w:r>
          </w:p>
        </w:tc>
      </w:tr>
      <w:tr w:rsidR="00604DB6" w14:paraId="5FB3836A" w14:textId="77777777" w:rsidTr="00FA2A69">
        <w:trPr>
          <w:jc w:val="center"/>
        </w:trPr>
        <w:tc>
          <w:tcPr>
            <w:tcW w:w="7150" w:type="dxa"/>
            <w:tcBorders>
              <w:top w:val="single" w:sz="4" w:space="0" w:color="CCCCCC"/>
              <w:left w:val="single" w:sz="4" w:space="0" w:color="CCCCCC"/>
              <w:bottom w:val="single" w:sz="4" w:space="0" w:color="CCCCCC"/>
              <w:right w:val="single" w:sz="4" w:space="0" w:color="CCCCCC"/>
            </w:tcBorders>
            <w:vAlign w:val="center"/>
          </w:tcPr>
          <w:p w14:paraId="44E5C951" w14:textId="77777777" w:rsidR="00604DB6" w:rsidRDefault="00000000">
            <w:r>
              <w:rPr>
                <w:rFonts w:eastAsia="Calibri"/>
                <w:sz w:val="20"/>
              </w:rPr>
              <w:t>Proven track record in similar assignments (with references)</w:t>
            </w:r>
          </w:p>
        </w:tc>
        <w:tc>
          <w:tcPr>
            <w:tcW w:w="2268" w:type="dxa"/>
            <w:tcBorders>
              <w:top w:val="single" w:sz="4" w:space="0" w:color="CCCCCC"/>
              <w:left w:val="single" w:sz="4" w:space="0" w:color="CCCCCC"/>
              <w:bottom w:val="single" w:sz="4" w:space="0" w:color="CCCCCC"/>
              <w:right w:val="single" w:sz="4" w:space="0" w:color="CCCCCC"/>
            </w:tcBorders>
            <w:vAlign w:val="center"/>
          </w:tcPr>
          <w:p w14:paraId="3E6910BA" w14:textId="77777777" w:rsidR="00604DB6" w:rsidRDefault="00000000">
            <w:pPr>
              <w:jc w:val="center"/>
            </w:pPr>
            <w:r>
              <w:rPr>
                <w:rFonts w:eastAsia="Calibri"/>
                <w:b/>
                <w:color w:val="003366"/>
                <w:sz w:val="20"/>
              </w:rPr>
              <w:t>25%</w:t>
            </w:r>
          </w:p>
        </w:tc>
      </w:tr>
      <w:tr w:rsidR="00604DB6" w14:paraId="1DBAE26F" w14:textId="77777777" w:rsidTr="00FA2A69">
        <w:trPr>
          <w:jc w:val="center"/>
        </w:trPr>
        <w:tc>
          <w:tcPr>
            <w:tcW w:w="7150" w:type="dxa"/>
            <w:tcBorders>
              <w:top w:val="single" w:sz="4" w:space="0" w:color="CCCCCC"/>
              <w:left w:val="single" w:sz="4" w:space="0" w:color="CCCCCC"/>
              <w:bottom w:val="single" w:sz="4" w:space="0" w:color="CCCCCC"/>
              <w:right w:val="single" w:sz="4" w:space="0" w:color="CCCCCC"/>
            </w:tcBorders>
            <w:shd w:val="clear" w:color="auto" w:fill="F5F5F5"/>
            <w:vAlign w:val="center"/>
          </w:tcPr>
          <w:p w14:paraId="04C55D2B" w14:textId="77777777" w:rsidR="00604DB6" w:rsidRDefault="00000000">
            <w:r>
              <w:rPr>
                <w:rFonts w:eastAsia="Calibri"/>
                <w:sz w:val="20"/>
              </w:rPr>
              <w:t>Technical approach and methodology</w:t>
            </w:r>
          </w:p>
        </w:tc>
        <w:tc>
          <w:tcPr>
            <w:tcW w:w="2268" w:type="dxa"/>
            <w:tcBorders>
              <w:top w:val="single" w:sz="4" w:space="0" w:color="CCCCCC"/>
              <w:left w:val="single" w:sz="4" w:space="0" w:color="CCCCCC"/>
              <w:bottom w:val="single" w:sz="4" w:space="0" w:color="CCCCCC"/>
              <w:right w:val="single" w:sz="4" w:space="0" w:color="CCCCCC"/>
            </w:tcBorders>
            <w:shd w:val="clear" w:color="auto" w:fill="F5F5F5"/>
            <w:vAlign w:val="center"/>
          </w:tcPr>
          <w:p w14:paraId="2293DE10" w14:textId="77777777" w:rsidR="00604DB6" w:rsidRDefault="00000000">
            <w:pPr>
              <w:jc w:val="center"/>
            </w:pPr>
            <w:r>
              <w:rPr>
                <w:rFonts w:eastAsia="Calibri"/>
                <w:b/>
                <w:color w:val="003366"/>
                <w:sz w:val="20"/>
              </w:rPr>
              <w:t>25%</w:t>
            </w:r>
          </w:p>
        </w:tc>
      </w:tr>
      <w:tr w:rsidR="00604DB6" w14:paraId="7D11B724" w14:textId="77777777" w:rsidTr="00FA2A69">
        <w:trPr>
          <w:jc w:val="center"/>
        </w:trPr>
        <w:tc>
          <w:tcPr>
            <w:tcW w:w="7150" w:type="dxa"/>
            <w:tcBorders>
              <w:top w:val="single" w:sz="4" w:space="0" w:color="CCCCCC"/>
              <w:left w:val="single" w:sz="4" w:space="0" w:color="CCCCCC"/>
              <w:bottom w:val="single" w:sz="4" w:space="0" w:color="CCCCCC"/>
              <w:right w:val="single" w:sz="4" w:space="0" w:color="CCCCCC"/>
            </w:tcBorders>
            <w:vAlign w:val="center"/>
          </w:tcPr>
          <w:p w14:paraId="258D6EE7" w14:textId="77777777" w:rsidR="00604DB6" w:rsidRDefault="00000000">
            <w:r>
              <w:rPr>
                <w:rFonts w:eastAsia="Calibri"/>
                <w:sz w:val="20"/>
              </w:rPr>
              <w:t>Understanding of the local context and CSO landscape</w:t>
            </w:r>
          </w:p>
        </w:tc>
        <w:tc>
          <w:tcPr>
            <w:tcW w:w="2268" w:type="dxa"/>
            <w:tcBorders>
              <w:top w:val="single" w:sz="4" w:space="0" w:color="CCCCCC"/>
              <w:left w:val="single" w:sz="4" w:space="0" w:color="CCCCCC"/>
              <w:bottom w:val="single" w:sz="4" w:space="0" w:color="CCCCCC"/>
              <w:right w:val="single" w:sz="4" w:space="0" w:color="CCCCCC"/>
            </w:tcBorders>
            <w:vAlign w:val="center"/>
          </w:tcPr>
          <w:p w14:paraId="3DE45EB2" w14:textId="77777777" w:rsidR="00604DB6" w:rsidRDefault="00000000">
            <w:pPr>
              <w:jc w:val="center"/>
            </w:pPr>
            <w:r>
              <w:rPr>
                <w:rFonts w:eastAsia="Calibri"/>
                <w:b/>
                <w:color w:val="003366"/>
                <w:sz w:val="20"/>
              </w:rPr>
              <w:t>10%</w:t>
            </w:r>
          </w:p>
        </w:tc>
      </w:tr>
      <w:tr w:rsidR="00604DB6" w14:paraId="24F1DEEA" w14:textId="77777777" w:rsidTr="00FA2A69">
        <w:trPr>
          <w:jc w:val="center"/>
        </w:trPr>
        <w:tc>
          <w:tcPr>
            <w:tcW w:w="7150" w:type="dxa"/>
            <w:tcBorders>
              <w:top w:val="single" w:sz="4" w:space="0" w:color="CCCCCC"/>
              <w:left w:val="single" w:sz="4" w:space="0" w:color="CCCCCC"/>
              <w:bottom w:val="single" w:sz="4" w:space="0" w:color="CCCCCC"/>
              <w:right w:val="single" w:sz="4" w:space="0" w:color="CCCCCC"/>
            </w:tcBorders>
            <w:shd w:val="clear" w:color="auto" w:fill="F5F5F5"/>
            <w:vAlign w:val="center"/>
          </w:tcPr>
          <w:p w14:paraId="2BABD02C" w14:textId="77777777" w:rsidR="00604DB6" w:rsidRDefault="00000000">
            <w:r>
              <w:rPr>
                <w:rFonts w:eastAsia="Calibri"/>
                <w:sz w:val="20"/>
              </w:rPr>
              <w:t>Financial proposal (value for money)</w:t>
            </w:r>
          </w:p>
        </w:tc>
        <w:tc>
          <w:tcPr>
            <w:tcW w:w="2268" w:type="dxa"/>
            <w:tcBorders>
              <w:top w:val="single" w:sz="4" w:space="0" w:color="CCCCCC"/>
              <w:left w:val="single" w:sz="4" w:space="0" w:color="CCCCCC"/>
              <w:bottom w:val="single" w:sz="4" w:space="0" w:color="CCCCCC"/>
              <w:right w:val="single" w:sz="4" w:space="0" w:color="CCCCCC"/>
            </w:tcBorders>
            <w:shd w:val="clear" w:color="auto" w:fill="F5F5F5"/>
            <w:vAlign w:val="center"/>
          </w:tcPr>
          <w:p w14:paraId="795DF7A1" w14:textId="77777777" w:rsidR="00604DB6" w:rsidRDefault="00000000">
            <w:pPr>
              <w:jc w:val="center"/>
            </w:pPr>
            <w:r>
              <w:rPr>
                <w:rFonts w:eastAsia="Calibri"/>
                <w:b/>
                <w:color w:val="003366"/>
                <w:sz w:val="20"/>
              </w:rPr>
              <w:t>10%</w:t>
            </w:r>
          </w:p>
        </w:tc>
      </w:tr>
      <w:tr w:rsidR="00604DB6" w14:paraId="4BCA1AB5" w14:textId="77777777" w:rsidTr="00FA2A69">
        <w:trPr>
          <w:jc w:val="center"/>
        </w:trPr>
        <w:tc>
          <w:tcPr>
            <w:tcW w:w="7150" w:type="dxa"/>
            <w:tcBorders>
              <w:top w:val="single" w:sz="4" w:space="0" w:color="CCCCCC"/>
              <w:left w:val="single" w:sz="4" w:space="0" w:color="CCCCCC"/>
              <w:bottom w:val="single" w:sz="4" w:space="0" w:color="CCCCCC"/>
              <w:right w:val="single" w:sz="4" w:space="0" w:color="CCCCCC"/>
            </w:tcBorders>
            <w:vAlign w:val="center"/>
          </w:tcPr>
          <w:p w14:paraId="6E01818F" w14:textId="77777777" w:rsidR="00604DB6" w:rsidRDefault="00000000">
            <w:r>
              <w:rPr>
                <w:rFonts w:eastAsia="Calibri"/>
                <w:sz w:val="20"/>
              </w:rPr>
              <w:t>TOTAL</w:t>
            </w:r>
          </w:p>
        </w:tc>
        <w:tc>
          <w:tcPr>
            <w:tcW w:w="2268" w:type="dxa"/>
            <w:tcBorders>
              <w:top w:val="single" w:sz="4" w:space="0" w:color="CCCCCC"/>
              <w:left w:val="single" w:sz="4" w:space="0" w:color="CCCCCC"/>
              <w:bottom w:val="single" w:sz="4" w:space="0" w:color="CCCCCC"/>
              <w:right w:val="single" w:sz="4" w:space="0" w:color="CCCCCC"/>
            </w:tcBorders>
            <w:vAlign w:val="center"/>
          </w:tcPr>
          <w:p w14:paraId="4AD440E3" w14:textId="77777777" w:rsidR="00604DB6" w:rsidRDefault="00000000">
            <w:pPr>
              <w:jc w:val="center"/>
            </w:pPr>
            <w:r>
              <w:rPr>
                <w:rFonts w:eastAsia="Calibri"/>
                <w:b/>
                <w:color w:val="003366"/>
                <w:sz w:val="20"/>
              </w:rPr>
              <w:t>100%</w:t>
            </w:r>
          </w:p>
        </w:tc>
      </w:tr>
    </w:tbl>
    <w:p w14:paraId="236F6E38" w14:textId="77777777" w:rsidR="00604DB6" w:rsidRDefault="00604DB6"/>
    <w:tbl>
      <w:tblPr>
        <w:tblW w:w="0" w:type="auto"/>
        <w:tblLook w:val="04A0" w:firstRow="1" w:lastRow="0" w:firstColumn="1" w:lastColumn="0" w:noHBand="0" w:noVBand="1"/>
      </w:tblPr>
      <w:tblGrid>
        <w:gridCol w:w="9406"/>
      </w:tblGrid>
      <w:tr w:rsidR="00604DB6" w14:paraId="3CC7B964" w14:textId="77777777">
        <w:tc>
          <w:tcPr>
            <w:tcW w:w="9406" w:type="dxa"/>
            <w:tcBorders>
              <w:top w:val="nil"/>
              <w:left w:val="nil"/>
              <w:bottom w:val="nil"/>
              <w:right w:val="nil"/>
            </w:tcBorders>
            <w:shd w:val="clear" w:color="auto" w:fill="003366"/>
          </w:tcPr>
          <w:p w14:paraId="04E4135E" w14:textId="77777777" w:rsidR="00604DB6" w:rsidRDefault="00000000">
            <w:r>
              <w:rPr>
                <w:rFonts w:eastAsia="Calibri"/>
                <w:b/>
                <w:color w:val="FFFFFF"/>
                <w:sz w:val="24"/>
              </w:rPr>
              <w:t xml:space="preserve">  7. SUPERVISION AND REPORTING</w:t>
            </w:r>
          </w:p>
        </w:tc>
      </w:tr>
    </w:tbl>
    <w:p w14:paraId="55200CAA" w14:textId="773951B1" w:rsidR="00604DB6" w:rsidRDefault="00000000">
      <w:pPr>
        <w:spacing w:after="160" w:line="288" w:lineRule="auto"/>
      </w:pPr>
      <w:r>
        <w:rPr>
          <w:rFonts w:eastAsia="Calibri"/>
        </w:rPr>
        <w:t xml:space="preserve">The consultant will report to the </w:t>
      </w:r>
      <w:r w:rsidR="00F203DF">
        <w:rPr>
          <w:rFonts w:eastAsia="Calibri"/>
        </w:rPr>
        <w:t>Head of Programs</w:t>
      </w:r>
      <w:r>
        <w:rPr>
          <w:rFonts w:eastAsia="Calibri"/>
        </w:rPr>
        <w:t xml:space="preserve">/ </w:t>
      </w:r>
      <w:r w:rsidR="00F203DF">
        <w:rPr>
          <w:rFonts w:eastAsia="Calibri"/>
        </w:rPr>
        <w:t>Project Officer</w:t>
      </w:r>
      <w:r>
        <w:rPr>
          <w:rFonts w:eastAsia="Calibri"/>
        </w:rPr>
        <w:t xml:space="preserve"> at [</w:t>
      </w:r>
      <w:r w:rsidR="00F203DF">
        <w:rPr>
          <w:rFonts w:eastAsia="Calibri"/>
        </w:rPr>
        <w:t>SSWC</w:t>
      </w:r>
      <w:r>
        <w:rPr>
          <w:rFonts w:eastAsia="Calibri"/>
        </w:rPr>
        <w:t>], with technical oversight from the Monitoring, Evaluation, and Learning (MEL)</w:t>
      </w:r>
      <w:r w:rsidR="00FA2A69">
        <w:rPr>
          <w:rFonts w:eastAsia="Calibri"/>
        </w:rPr>
        <w:t xml:space="preserve"> Manager</w:t>
      </w:r>
      <w:r>
        <w:rPr>
          <w:rFonts w:eastAsia="Calibri"/>
        </w:rPr>
        <w:t>. Regular coordination meetings will be held weekly (virtual) and bi-weekly (in-person during field missions).</w:t>
      </w:r>
    </w:p>
    <w:tbl>
      <w:tblPr>
        <w:tblW w:w="0" w:type="auto"/>
        <w:tblLook w:val="04A0" w:firstRow="1" w:lastRow="0" w:firstColumn="1" w:lastColumn="0" w:noHBand="0" w:noVBand="1"/>
      </w:tblPr>
      <w:tblGrid>
        <w:gridCol w:w="9406"/>
      </w:tblGrid>
      <w:tr w:rsidR="00604DB6" w14:paraId="1DD15674" w14:textId="77777777">
        <w:tc>
          <w:tcPr>
            <w:tcW w:w="9406" w:type="dxa"/>
            <w:tcBorders>
              <w:top w:val="nil"/>
              <w:left w:val="nil"/>
              <w:bottom w:val="nil"/>
              <w:right w:val="nil"/>
            </w:tcBorders>
            <w:shd w:val="clear" w:color="auto" w:fill="003366"/>
          </w:tcPr>
          <w:p w14:paraId="4992BFB5" w14:textId="77777777" w:rsidR="00604DB6" w:rsidRDefault="00000000">
            <w:r>
              <w:rPr>
                <w:rFonts w:eastAsia="Calibri"/>
                <w:b/>
                <w:color w:val="FFFFFF"/>
                <w:sz w:val="24"/>
              </w:rPr>
              <w:t xml:space="preserve">  8. LOGISTICAL ARRANGEMENTS</w:t>
            </w:r>
          </w:p>
        </w:tc>
      </w:tr>
    </w:tbl>
    <w:p w14:paraId="2AF28C7A" w14:textId="697251E2" w:rsidR="00F203DF" w:rsidRPr="00F203DF" w:rsidRDefault="00F203DF" w:rsidP="00F203DF">
      <w:pPr>
        <w:pStyle w:val="ListBullet"/>
        <w:numPr>
          <w:ilvl w:val="0"/>
          <w:numId w:val="15"/>
        </w:numPr>
        <w:spacing w:after="80"/>
        <w:rPr>
          <w:rFonts w:eastAsia="Calibri"/>
        </w:rPr>
      </w:pPr>
      <w:r w:rsidRPr="00F203DF">
        <w:rPr>
          <w:rFonts w:eastAsia="Calibri"/>
        </w:rPr>
        <w:t xml:space="preserve">The consultancy will be conducted in </w:t>
      </w:r>
      <w:r w:rsidRPr="00F203DF">
        <w:rPr>
          <w:rFonts w:eastAsia="Calibri"/>
          <w:b/>
          <w:bCs/>
        </w:rPr>
        <w:t xml:space="preserve">Dhobley District, </w:t>
      </w:r>
      <w:proofErr w:type="spellStart"/>
      <w:r w:rsidRPr="00F203DF">
        <w:rPr>
          <w:rFonts w:eastAsia="Calibri"/>
          <w:b/>
          <w:bCs/>
        </w:rPr>
        <w:t>Jubaland</w:t>
      </w:r>
      <w:proofErr w:type="spellEnd"/>
      <w:r w:rsidRPr="00F203DF">
        <w:rPr>
          <w:rFonts w:eastAsia="Calibri"/>
          <w:b/>
          <w:bCs/>
        </w:rPr>
        <w:t xml:space="preserve"> State, Somalia</w:t>
      </w:r>
      <w:r w:rsidRPr="00F203DF">
        <w:rPr>
          <w:rFonts w:eastAsia="Calibri"/>
        </w:rPr>
        <w:t xml:space="preserve">. </w:t>
      </w:r>
    </w:p>
    <w:p w14:paraId="3603FCF6" w14:textId="61BC3AF8" w:rsidR="00F203DF" w:rsidRPr="00F203DF" w:rsidRDefault="00F203DF" w:rsidP="00F203DF">
      <w:pPr>
        <w:pStyle w:val="ListBullet"/>
        <w:numPr>
          <w:ilvl w:val="0"/>
          <w:numId w:val="15"/>
        </w:numPr>
        <w:spacing w:after="80"/>
        <w:rPr>
          <w:rFonts w:eastAsia="Calibri"/>
        </w:rPr>
      </w:pPr>
      <w:r w:rsidRPr="00F203DF">
        <w:rPr>
          <w:rFonts w:eastAsia="Calibri"/>
        </w:rPr>
        <w:t xml:space="preserve">The consultant will work under the supervision of the implementing organization and in coordination with relevant government authorities and CSOs. </w:t>
      </w:r>
    </w:p>
    <w:p w14:paraId="520C3EA3" w14:textId="0D2F1D34" w:rsidR="00F203DF" w:rsidRPr="00F203DF" w:rsidRDefault="00F203DF" w:rsidP="00F203DF">
      <w:pPr>
        <w:pStyle w:val="ListBullet"/>
        <w:numPr>
          <w:ilvl w:val="0"/>
          <w:numId w:val="15"/>
        </w:numPr>
        <w:spacing w:after="80"/>
        <w:rPr>
          <w:rFonts w:eastAsia="Calibri"/>
        </w:rPr>
      </w:pPr>
      <w:r w:rsidRPr="00F203DF">
        <w:rPr>
          <w:rFonts w:eastAsia="Calibri"/>
        </w:rPr>
        <w:t xml:space="preserve">The implementing organization will facilitate stakeholder coordination and access to project sites, as required. </w:t>
      </w:r>
    </w:p>
    <w:p w14:paraId="3ACBC1D1" w14:textId="638016F3" w:rsidR="00F203DF" w:rsidRPr="00F203DF" w:rsidRDefault="00F203DF" w:rsidP="00F203DF">
      <w:pPr>
        <w:pStyle w:val="ListBullet"/>
        <w:numPr>
          <w:ilvl w:val="0"/>
          <w:numId w:val="15"/>
        </w:numPr>
        <w:spacing w:after="80"/>
        <w:rPr>
          <w:rFonts w:eastAsia="Calibri"/>
        </w:rPr>
      </w:pPr>
      <w:r w:rsidRPr="00F203DF">
        <w:rPr>
          <w:rFonts w:eastAsia="Calibri"/>
        </w:rPr>
        <w:t xml:space="preserve">The consultant will provide the necessary equipment and software to undertake the assignment. </w:t>
      </w:r>
    </w:p>
    <w:p w14:paraId="5E7119F1" w14:textId="43FD57EC" w:rsidR="00604DB6" w:rsidRDefault="00F203DF" w:rsidP="00F203DF">
      <w:pPr>
        <w:pStyle w:val="ListBullet"/>
        <w:numPr>
          <w:ilvl w:val="0"/>
          <w:numId w:val="15"/>
        </w:numPr>
        <w:spacing w:after="80"/>
      </w:pPr>
      <w:r w:rsidRPr="00F203DF">
        <w:rPr>
          <w:rFonts w:eastAsia="Calibri"/>
        </w:rPr>
        <w:t>Travel and field logistics will be managed in accordance with the consultancy contract and organizational policies.</w:t>
      </w:r>
    </w:p>
    <w:tbl>
      <w:tblPr>
        <w:tblW w:w="0" w:type="auto"/>
        <w:tblLook w:val="04A0" w:firstRow="1" w:lastRow="0" w:firstColumn="1" w:lastColumn="0" w:noHBand="0" w:noVBand="1"/>
      </w:tblPr>
      <w:tblGrid>
        <w:gridCol w:w="9558"/>
      </w:tblGrid>
      <w:tr w:rsidR="00604DB6" w14:paraId="122EFBAF" w14:textId="77777777" w:rsidTr="00F203DF">
        <w:tc>
          <w:tcPr>
            <w:tcW w:w="9558" w:type="dxa"/>
            <w:tcBorders>
              <w:top w:val="nil"/>
              <w:left w:val="nil"/>
              <w:bottom w:val="nil"/>
              <w:right w:val="nil"/>
            </w:tcBorders>
            <w:shd w:val="clear" w:color="auto" w:fill="003366"/>
          </w:tcPr>
          <w:p w14:paraId="33FD2987" w14:textId="77777777" w:rsidR="00604DB6" w:rsidRDefault="00000000">
            <w:r>
              <w:rPr>
                <w:rFonts w:eastAsia="Calibri"/>
                <w:b/>
                <w:color w:val="FFFFFF"/>
                <w:sz w:val="24"/>
              </w:rPr>
              <w:t xml:space="preserve">  9. PAYMENT SCHEDULE</w:t>
            </w:r>
          </w:p>
        </w:tc>
      </w:tr>
    </w:tbl>
    <w:tbl>
      <w:tblPr>
        <w:tblW w:w="0" w:type="auto"/>
        <w:jc w:val="center"/>
        <w:tblLayout w:type="fixed"/>
        <w:tblLook w:val="04A0" w:firstRow="1" w:lastRow="0" w:firstColumn="1" w:lastColumn="0" w:noHBand="0" w:noVBand="1"/>
      </w:tblPr>
      <w:tblGrid>
        <w:gridCol w:w="7271"/>
        <w:gridCol w:w="2268"/>
      </w:tblGrid>
      <w:tr w:rsidR="00F203DF" w14:paraId="5B8C6F0F" w14:textId="77777777" w:rsidTr="00F203DF">
        <w:trPr>
          <w:jc w:val="center"/>
        </w:trPr>
        <w:tc>
          <w:tcPr>
            <w:tcW w:w="7271" w:type="dxa"/>
            <w:tcBorders>
              <w:top w:val="single" w:sz="4" w:space="0" w:color="E87722"/>
              <w:left w:val="single" w:sz="4" w:space="0" w:color="E87722"/>
              <w:bottom w:val="single" w:sz="4" w:space="0" w:color="E87722"/>
              <w:right w:val="single" w:sz="4" w:space="0" w:color="E87722"/>
            </w:tcBorders>
            <w:shd w:val="clear" w:color="auto" w:fill="E87722"/>
            <w:vAlign w:val="center"/>
          </w:tcPr>
          <w:p w14:paraId="7B6A86B1" w14:textId="3D8BFEE4" w:rsidR="00F203DF" w:rsidRDefault="00F203DF" w:rsidP="00F203DF">
            <w:r>
              <w:rPr>
                <w:rFonts w:eastAsia="Calibri"/>
                <w:b/>
                <w:color w:val="FFFFFF"/>
                <w:sz w:val="20"/>
              </w:rPr>
              <w:t>Deliverable</w:t>
            </w:r>
          </w:p>
        </w:tc>
        <w:tc>
          <w:tcPr>
            <w:tcW w:w="2268" w:type="dxa"/>
            <w:tcBorders>
              <w:top w:val="single" w:sz="4" w:space="0" w:color="E87722"/>
              <w:left w:val="single" w:sz="4" w:space="0" w:color="E87722"/>
              <w:bottom w:val="single" w:sz="4" w:space="0" w:color="E87722"/>
              <w:right w:val="single" w:sz="4" w:space="0" w:color="E87722"/>
            </w:tcBorders>
            <w:shd w:val="clear" w:color="auto" w:fill="E87722"/>
            <w:vAlign w:val="center"/>
          </w:tcPr>
          <w:p w14:paraId="40BE31E2" w14:textId="77777777" w:rsidR="00F203DF" w:rsidRDefault="00F203DF">
            <w:pPr>
              <w:jc w:val="center"/>
            </w:pPr>
            <w:r>
              <w:rPr>
                <w:rFonts w:eastAsia="Calibri"/>
                <w:b/>
                <w:color w:val="FFFFFF"/>
                <w:sz w:val="20"/>
              </w:rPr>
              <w:t>Percentage</w:t>
            </w:r>
          </w:p>
        </w:tc>
      </w:tr>
      <w:tr w:rsidR="00F203DF" w14:paraId="2E689B07" w14:textId="77777777" w:rsidTr="00F203DF">
        <w:trPr>
          <w:jc w:val="center"/>
        </w:trPr>
        <w:tc>
          <w:tcPr>
            <w:tcW w:w="7271" w:type="dxa"/>
            <w:tcBorders>
              <w:top w:val="single" w:sz="4" w:space="0" w:color="E87722"/>
              <w:left w:val="single" w:sz="4" w:space="0" w:color="E87722"/>
              <w:bottom w:val="single" w:sz="4" w:space="0" w:color="E87722"/>
              <w:right w:val="single" w:sz="4" w:space="0" w:color="E87722"/>
            </w:tcBorders>
            <w:vAlign w:val="center"/>
          </w:tcPr>
          <w:p w14:paraId="0219A6AF" w14:textId="2D0FE4C8" w:rsidR="00F203DF" w:rsidRDefault="00F203DF" w:rsidP="00F203DF">
            <w:r>
              <w:lastRenderedPageBreak/>
              <w:t>Upon approval of the Inception Report and work plan</w:t>
            </w:r>
          </w:p>
        </w:tc>
        <w:tc>
          <w:tcPr>
            <w:tcW w:w="2268" w:type="dxa"/>
            <w:tcBorders>
              <w:top w:val="single" w:sz="4" w:space="0" w:color="E87722"/>
              <w:left w:val="single" w:sz="4" w:space="0" w:color="E87722"/>
              <w:bottom w:val="single" w:sz="4" w:space="0" w:color="E87722"/>
              <w:right w:val="single" w:sz="4" w:space="0" w:color="E87722"/>
            </w:tcBorders>
            <w:vAlign w:val="center"/>
          </w:tcPr>
          <w:p w14:paraId="2D1C36A1" w14:textId="55C8A24C" w:rsidR="00F203DF" w:rsidRDefault="00F203DF" w:rsidP="00F203DF">
            <w:pPr>
              <w:jc w:val="center"/>
            </w:pPr>
            <w:r>
              <w:rPr>
                <w:rStyle w:val="Strong"/>
              </w:rPr>
              <w:t>20%</w:t>
            </w:r>
          </w:p>
        </w:tc>
      </w:tr>
      <w:tr w:rsidR="00F203DF" w14:paraId="10A4EED0" w14:textId="77777777" w:rsidTr="00F203DF">
        <w:trPr>
          <w:jc w:val="center"/>
        </w:trPr>
        <w:tc>
          <w:tcPr>
            <w:tcW w:w="7271" w:type="dxa"/>
            <w:tcBorders>
              <w:top w:val="single" w:sz="4" w:space="0" w:color="E87722"/>
              <w:left w:val="single" w:sz="4" w:space="0" w:color="E87722"/>
              <w:bottom w:val="single" w:sz="4" w:space="0" w:color="E87722"/>
              <w:right w:val="single" w:sz="4" w:space="0" w:color="E87722"/>
            </w:tcBorders>
            <w:shd w:val="clear" w:color="auto" w:fill="FFF8F0"/>
            <w:vAlign w:val="center"/>
          </w:tcPr>
          <w:p w14:paraId="4E6F8730" w14:textId="0D072F0E" w:rsidR="00F203DF" w:rsidRDefault="00F203DF" w:rsidP="00F203DF">
            <w:r>
              <w:t>Upon submission and approval of the digital data collection tools and completion of pilot testing</w:t>
            </w:r>
          </w:p>
        </w:tc>
        <w:tc>
          <w:tcPr>
            <w:tcW w:w="2268" w:type="dxa"/>
            <w:tcBorders>
              <w:top w:val="single" w:sz="4" w:space="0" w:color="E87722"/>
              <w:left w:val="single" w:sz="4" w:space="0" w:color="E87722"/>
              <w:bottom w:val="single" w:sz="4" w:space="0" w:color="E87722"/>
              <w:right w:val="single" w:sz="4" w:space="0" w:color="E87722"/>
            </w:tcBorders>
            <w:shd w:val="clear" w:color="auto" w:fill="FFF8F0"/>
            <w:vAlign w:val="center"/>
          </w:tcPr>
          <w:p w14:paraId="27A218FA" w14:textId="67A4DFB6" w:rsidR="00F203DF" w:rsidRDefault="00F203DF" w:rsidP="00F203DF">
            <w:pPr>
              <w:jc w:val="center"/>
            </w:pPr>
            <w:r>
              <w:rPr>
                <w:rStyle w:val="Strong"/>
              </w:rPr>
              <w:t>50%</w:t>
            </w:r>
          </w:p>
        </w:tc>
      </w:tr>
      <w:tr w:rsidR="00F203DF" w14:paraId="706A215D" w14:textId="77777777" w:rsidTr="00F203DF">
        <w:trPr>
          <w:jc w:val="center"/>
        </w:trPr>
        <w:tc>
          <w:tcPr>
            <w:tcW w:w="7271" w:type="dxa"/>
            <w:tcBorders>
              <w:top w:val="single" w:sz="4" w:space="0" w:color="E87722"/>
              <w:left w:val="single" w:sz="4" w:space="0" w:color="E87722"/>
              <w:bottom w:val="single" w:sz="4" w:space="0" w:color="E87722"/>
              <w:right w:val="single" w:sz="4" w:space="0" w:color="E87722"/>
            </w:tcBorders>
            <w:vAlign w:val="center"/>
          </w:tcPr>
          <w:p w14:paraId="64FF6A49" w14:textId="7A364461" w:rsidR="00F203DF" w:rsidRDefault="00F203DF" w:rsidP="00F203DF">
            <w:r>
              <w:t>Upon submission and approval of the final consultancy report, finalized digital tools, and all deliverables</w:t>
            </w:r>
          </w:p>
        </w:tc>
        <w:tc>
          <w:tcPr>
            <w:tcW w:w="2268" w:type="dxa"/>
            <w:tcBorders>
              <w:top w:val="single" w:sz="4" w:space="0" w:color="E87722"/>
              <w:left w:val="single" w:sz="4" w:space="0" w:color="E87722"/>
              <w:bottom w:val="single" w:sz="4" w:space="0" w:color="E87722"/>
              <w:right w:val="single" w:sz="4" w:space="0" w:color="E87722"/>
            </w:tcBorders>
            <w:vAlign w:val="center"/>
          </w:tcPr>
          <w:p w14:paraId="359D58F3" w14:textId="0EEA4277" w:rsidR="00F203DF" w:rsidRDefault="00F203DF" w:rsidP="00F203DF">
            <w:pPr>
              <w:jc w:val="center"/>
            </w:pPr>
            <w:r>
              <w:rPr>
                <w:rStyle w:val="Strong"/>
              </w:rPr>
              <w:t>30%</w:t>
            </w:r>
          </w:p>
        </w:tc>
      </w:tr>
    </w:tbl>
    <w:tbl>
      <w:tblPr>
        <w:tblW w:w="0" w:type="auto"/>
        <w:tblLook w:val="04A0" w:firstRow="1" w:lastRow="0" w:firstColumn="1" w:lastColumn="0" w:noHBand="0" w:noVBand="1"/>
      </w:tblPr>
      <w:tblGrid>
        <w:gridCol w:w="9406"/>
      </w:tblGrid>
      <w:tr w:rsidR="00604DB6" w14:paraId="53BE7B4D" w14:textId="77777777">
        <w:tc>
          <w:tcPr>
            <w:tcW w:w="9406" w:type="dxa"/>
            <w:tcBorders>
              <w:top w:val="nil"/>
              <w:left w:val="nil"/>
              <w:bottom w:val="nil"/>
              <w:right w:val="nil"/>
            </w:tcBorders>
            <w:shd w:val="clear" w:color="auto" w:fill="003366"/>
          </w:tcPr>
          <w:p w14:paraId="7D522766" w14:textId="77777777" w:rsidR="00604DB6" w:rsidRDefault="00000000">
            <w:r>
              <w:rPr>
                <w:rFonts w:eastAsia="Calibri"/>
                <w:b/>
                <w:color w:val="FFFFFF"/>
                <w:sz w:val="24"/>
              </w:rPr>
              <w:t xml:space="preserve">  10. HOW TO APPLY</w:t>
            </w:r>
          </w:p>
        </w:tc>
      </w:tr>
    </w:tbl>
    <w:p w14:paraId="4D8D0D91" w14:textId="23A5408C" w:rsidR="00604DB6" w:rsidRDefault="00000000">
      <w:pPr>
        <w:spacing w:after="120"/>
      </w:pPr>
      <w:r>
        <w:rPr>
          <w:rFonts w:eastAsia="Calibri"/>
        </w:rPr>
        <w:t xml:space="preserve">Interested candidates should submit the following documents in English by </w:t>
      </w:r>
      <w:r w:rsidR="00C712E0">
        <w:rPr>
          <w:rFonts w:eastAsia="Calibri"/>
        </w:rPr>
        <w:t>9</w:t>
      </w:r>
      <w:r w:rsidR="00C712E0" w:rsidRPr="00C712E0">
        <w:rPr>
          <w:rFonts w:eastAsia="Calibri"/>
          <w:vertAlign w:val="superscript"/>
        </w:rPr>
        <w:t>th</w:t>
      </w:r>
      <w:r w:rsidR="00C712E0">
        <w:rPr>
          <w:rFonts w:eastAsia="Calibri"/>
        </w:rPr>
        <w:t xml:space="preserve"> July 2026</w:t>
      </w:r>
      <w:r>
        <w:rPr>
          <w:rFonts w:eastAsia="Calibri"/>
        </w:rPr>
        <w:t xml:space="preserve">, 23:59 </w:t>
      </w:r>
      <w:proofErr w:type="spellStart"/>
      <w:r>
        <w:rPr>
          <w:rFonts w:eastAsia="Calibri"/>
        </w:rPr>
        <w:t>hrs</w:t>
      </w:r>
      <w:proofErr w:type="spellEnd"/>
      <w:r>
        <w:rPr>
          <w:rFonts w:eastAsia="Calibri"/>
        </w:rPr>
        <w:t xml:space="preserve"> to </w:t>
      </w:r>
      <w:hyperlink r:id="rId6" w:history="1">
        <w:r w:rsidR="0026222B" w:rsidRPr="00C429B7">
          <w:rPr>
            <w:rStyle w:val="Hyperlink"/>
            <w:rFonts w:eastAsia="Calibri"/>
          </w:rPr>
          <w:t>hr@sswc-som.org</w:t>
        </w:r>
      </w:hyperlink>
      <w:r w:rsidR="0026222B">
        <w:rPr>
          <w:rFonts w:eastAsia="Calibri"/>
        </w:rPr>
        <w:t xml:space="preserve"> </w:t>
      </w:r>
      <w:r w:rsidR="00D127DE">
        <w:rPr>
          <w:rFonts w:eastAsia="Calibri"/>
        </w:rPr>
        <w:t>and cc</w:t>
      </w:r>
      <w:r w:rsidR="00B015B4">
        <w:t xml:space="preserve"> </w:t>
      </w:r>
      <w:hyperlink r:id="rId7" w:history="1">
        <w:r w:rsidR="00B015B4" w:rsidRPr="00B015B4">
          <w:rPr>
            <w:rStyle w:val="Hyperlink"/>
          </w:rPr>
          <w:t>ahmednasir@sswc-som.org</w:t>
        </w:r>
      </w:hyperlink>
      <w:r w:rsidR="00D127DE">
        <w:rPr>
          <w:rFonts w:eastAsia="Calibri"/>
        </w:rPr>
        <w:t xml:space="preserve"> </w:t>
      </w:r>
      <w:r>
        <w:rPr>
          <w:rFonts w:eastAsia="Calibri"/>
        </w:rPr>
        <w:t>with the subject line:</w:t>
      </w:r>
      <w:r>
        <w:rPr>
          <w:rFonts w:eastAsia="Calibri"/>
        </w:rPr>
        <w:br/>
      </w:r>
    </w:p>
    <w:tbl>
      <w:tblPr>
        <w:tblW w:w="0" w:type="auto"/>
        <w:jc w:val="center"/>
        <w:tblLook w:val="04A0" w:firstRow="1" w:lastRow="0" w:firstColumn="1" w:lastColumn="0" w:noHBand="0" w:noVBand="1"/>
      </w:tblPr>
      <w:tblGrid>
        <w:gridCol w:w="9406"/>
      </w:tblGrid>
      <w:tr w:rsidR="00604DB6" w14:paraId="526AEDD7" w14:textId="77777777">
        <w:trPr>
          <w:jc w:val="center"/>
        </w:trPr>
        <w:tc>
          <w:tcPr>
            <w:tcW w:w="9406" w:type="dxa"/>
            <w:tcBorders>
              <w:top w:val="single" w:sz="8" w:space="0" w:color="E87722"/>
              <w:left w:val="single" w:sz="8" w:space="0" w:color="E87722"/>
              <w:bottom w:val="single" w:sz="8" w:space="0" w:color="E87722"/>
              <w:right w:val="single" w:sz="8" w:space="0" w:color="E87722"/>
            </w:tcBorders>
            <w:shd w:val="clear" w:color="auto" w:fill="FFF8F0"/>
          </w:tcPr>
          <w:p w14:paraId="374E504A" w14:textId="77777777" w:rsidR="00604DB6" w:rsidRDefault="00000000">
            <w:pPr>
              <w:jc w:val="center"/>
            </w:pPr>
            <w:r>
              <w:rPr>
                <w:rFonts w:eastAsia="Calibri"/>
                <w:b/>
                <w:color w:val="E87722"/>
                <w:sz w:val="20"/>
              </w:rPr>
              <w:t>"Consultancy 001 – Digital Data Collection Tools for Harmful Practices Monitoring – [Your Name]"</w:t>
            </w:r>
          </w:p>
        </w:tc>
      </w:tr>
    </w:tbl>
    <w:p w14:paraId="6B332B77" w14:textId="77777777" w:rsidR="00604DB6" w:rsidRDefault="00604DB6"/>
    <w:p w14:paraId="251776AF" w14:textId="384FF728" w:rsidR="00604DB6" w:rsidRDefault="00000000" w:rsidP="00F203DF">
      <w:pPr>
        <w:pStyle w:val="ListParagraph"/>
        <w:numPr>
          <w:ilvl w:val="0"/>
          <w:numId w:val="18"/>
        </w:numPr>
        <w:spacing w:after="80"/>
      </w:pPr>
      <w:r w:rsidRPr="00F203DF">
        <w:rPr>
          <w:rFonts w:eastAsia="Calibri"/>
        </w:rPr>
        <w:t>Curriculum Vitae (CV) highlighting relevant experience (maximum 5 pages).</w:t>
      </w:r>
    </w:p>
    <w:p w14:paraId="1030D432" w14:textId="7AAE856A" w:rsidR="00604DB6" w:rsidRDefault="00000000" w:rsidP="00F203DF">
      <w:pPr>
        <w:pStyle w:val="ListParagraph"/>
        <w:numPr>
          <w:ilvl w:val="0"/>
          <w:numId w:val="18"/>
        </w:numPr>
        <w:spacing w:after="80"/>
      </w:pPr>
      <w:r w:rsidRPr="00F203DF">
        <w:rPr>
          <w:rFonts w:eastAsia="Calibri"/>
        </w:rPr>
        <w:t>Technical Proposal (maximum 10 pages) outlining: understanding of the assignment and context; proposed methodology and work plan; sample of previous similar work (links to apps, portfolios, or published reports); three professional references with contact details.</w:t>
      </w:r>
    </w:p>
    <w:p w14:paraId="3C49339E" w14:textId="1C1FF967" w:rsidR="00604DB6" w:rsidRDefault="00000000" w:rsidP="00F203DF">
      <w:pPr>
        <w:pStyle w:val="ListParagraph"/>
        <w:numPr>
          <w:ilvl w:val="0"/>
          <w:numId w:val="18"/>
        </w:numPr>
        <w:spacing w:after="80"/>
      </w:pPr>
      <w:r w:rsidRPr="00F203DF">
        <w:rPr>
          <w:rFonts w:eastAsia="Calibri"/>
        </w:rPr>
        <w:t xml:space="preserve">Financial Proposal in </w:t>
      </w:r>
      <w:r w:rsidR="00F203DF">
        <w:rPr>
          <w:rFonts w:eastAsia="Calibri"/>
        </w:rPr>
        <w:t>USD</w:t>
      </w:r>
      <w:r w:rsidRPr="00F203DF">
        <w:rPr>
          <w:rFonts w:eastAsia="Calibri"/>
        </w:rPr>
        <w:t xml:space="preserve"> indicating daily consultancy fee and any other anticipated costs.</w:t>
      </w:r>
    </w:p>
    <w:p w14:paraId="5F4E09BD" w14:textId="4F07576A" w:rsidR="00604DB6" w:rsidRDefault="00000000" w:rsidP="00F203DF">
      <w:pPr>
        <w:pStyle w:val="ListParagraph"/>
        <w:numPr>
          <w:ilvl w:val="0"/>
          <w:numId w:val="18"/>
        </w:numPr>
        <w:spacing w:after="80"/>
      </w:pPr>
      <w:r w:rsidRPr="00F203DF">
        <w:rPr>
          <w:rFonts w:eastAsia="Calibri"/>
        </w:rPr>
        <w:t>Cover Letter (maximum 1 page) explaining motivation and suitability.</w:t>
      </w:r>
    </w:p>
    <w:p w14:paraId="42A2F254" w14:textId="4D76E35F" w:rsidR="00604DB6" w:rsidRDefault="00F71B78">
      <w:pPr>
        <w:spacing w:before="160"/>
        <w:jc w:val="center"/>
      </w:pPr>
      <w:r>
        <w:rPr>
          <w:rFonts w:eastAsia="Calibri"/>
          <w:b/>
          <w:i/>
          <w:color w:val="008080"/>
          <w:sz w:val="20"/>
        </w:rPr>
        <w:t>SSWC is an equal opportunity employer. We encourage applications from qualified women, persons with disabilities, and candidates from underrepresented communities.</w:t>
      </w:r>
    </w:p>
    <w:sectPr w:rsidR="00604DB6" w:rsidSect="00034616">
      <w:pgSz w:w="12240" w:h="15840"/>
      <w:pgMar w:top="1134" w:right="1417" w:bottom="1134"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445ABB4E"/>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7A3213E"/>
    <w:multiLevelType w:val="hybridMultilevel"/>
    <w:tmpl w:val="F19ED0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8445321"/>
    <w:multiLevelType w:val="hybridMultilevel"/>
    <w:tmpl w:val="D430F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58664F1"/>
    <w:multiLevelType w:val="hybridMultilevel"/>
    <w:tmpl w:val="55D89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CDA0257"/>
    <w:multiLevelType w:val="hybridMultilevel"/>
    <w:tmpl w:val="C764E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45D0007"/>
    <w:multiLevelType w:val="hybridMultilevel"/>
    <w:tmpl w:val="7E8E82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E3466A6"/>
    <w:multiLevelType w:val="hybridMultilevel"/>
    <w:tmpl w:val="757EE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21D758D"/>
    <w:multiLevelType w:val="hybridMultilevel"/>
    <w:tmpl w:val="F7CAA6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A535B67"/>
    <w:multiLevelType w:val="hybridMultilevel"/>
    <w:tmpl w:val="7348ED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471631D"/>
    <w:multiLevelType w:val="hybridMultilevel"/>
    <w:tmpl w:val="39B66C4C"/>
    <w:lvl w:ilvl="0" w:tplc="A20650DA">
      <w:start w:val="1"/>
      <w:numFmt w:val="decimal"/>
      <w:lvlText w:val="%1."/>
      <w:lvlJc w:val="left"/>
      <w:pPr>
        <w:ind w:left="720" w:hanging="360"/>
      </w:pPr>
      <w:rPr>
        <w:rFonts w:eastAsia="Calibri" w:hint="default"/>
        <w:b/>
        <w:color w:val="00336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34519069">
    <w:abstractNumId w:val="8"/>
  </w:num>
  <w:num w:numId="2" w16cid:durableId="1881436060">
    <w:abstractNumId w:val="6"/>
  </w:num>
  <w:num w:numId="3" w16cid:durableId="1475640829">
    <w:abstractNumId w:val="5"/>
  </w:num>
  <w:num w:numId="4" w16cid:durableId="1611014605">
    <w:abstractNumId w:val="4"/>
  </w:num>
  <w:num w:numId="5" w16cid:durableId="607927339">
    <w:abstractNumId w:val="7"/>
  </w:num>
  <w:num w:numId="6" w16cid:durableId="1139952382">
    <w:abstractNumId w:val="3"/>
  </w:num>
  <w:num w:numId="7" w16cid:durableId="2050571319">
    <w:abstractNumId w:val="2"/>
  </w:num>
  <w:num w:numId="8" w16cid:durableId="525169070">
    <w:abstractNumId w:val="1"/>
  </w:num>
  <w:num w:numId="9" w16cid:durableId="2052723217">
    <w:abstractNumId w:val="0"/>
  </w:num>
  <w:num w:numId="10" w16cid:durableId="373505501">
    <w:abstractNumId w:val="9"/>
  </w:num>
  <w:num w:numId="11" w16cid:durableId="928197150">
    <w:abstractNumId w:val="10"/>
  </w:num>
  <w:num w:numId="12" w16cid:durableId="221016291">
    <w:abstractNumId w:val="11"/>
  </w:num>
  <w:num w:numId="13" w16cid:durableId="921136145">
    <w:abstractNumId w:val="12"/>
  </w:num>
  <w:num w:numId="14" w16cid:durableId="1044521781">
    <w:abstractNumId w:val="16"/>
  </w:num>
  <w:num w:numId="15" w16cid:durableId="1702168668">
    <w:abstractNumId w:val="15"/>
  </w:num>
  <w:num w:numId="16" w16cid:durableId="123891671">
    <w:abstractNumId w:val="14"/>
  </w:num>
  <w:num w:numId="17" w16cid:durableId="1703549614">
    <w:abstractNumId w:val="13"/>
  </w:num>
  <w:num w:numId="18" w16cid:durableId="15409766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87E84"/>
    <w:rsid w:val="0015074B"/>
    <w:rsid w:val="0026222B"/>
    <w:rsid w:val="0029639D"/>
    <w:rsid w:val="00326F90"/>
    <w:rsid w:val="003E11D1"/>
    <w:rsid w:val="00441162"/>
    <w:rsid w:val="004B0EFB"/>
    <w:rsid w:val="005F375E"/>
    <w:rsid w:val="00604DB6"/>
    <w:rsid w:val="0081513F"/>
    <w:rsid w:val="00944E26"/>
    <w:rsid w:val="00A205DE"/>
    <w:rsid w:val="00A70C7B"/>
    <w:rsid w:val="00A77263"/>
    <w:rsid w:val="00AA1D8D"/>
    <w:rsid w:val="00B015B4"/>
    <w:rsid w:val="00B47730"/>
    <w:rsid w:val="00C712E0"/>
    <w:rsid w:val="00CB0664"/>
    <w:rsid w:val="00D127DE"/>
    <w:rsid w:val="00D41C5E"/>
    <w:rsid w:val="00EC3607"/>
    <w:rsid w:val="00F203DF"/>
    <w:rsid w:val="00F71B78"/>
    <w:rsid w:val="00FA2A69"/>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ED80153"/>
  <w14:defaultImageDpi w14:val="300"/>
  <w15:docId w15:val="{AA183492-C76D-4DEC-80D4-490B6CCEB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hAnsi="Calibri"/>
      <w:color w:val="333333"/>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26222B"/>
    <w:rPr>
      <w:color w:val="0000FF" w:themeColor="hyperlink"/>
      <w:u w:val="single"/>
    </w:rPr>
  </w:style>
  <w:style w:type="character" w:styleId="UnresolvedMention">
    <w:name w:val="Unresolved Mention"/>
    <w:basedOn w:val="DefaultParagraphFont"/>
    <w:uiPriority w:val="99"/>
    <w:semiHidden/>
    <w:unhideWhenUsed/>
    <w:rsid w:val="002622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ahmednasir@sswc-som.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hr@sswc-som.or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5</Pages>
  <Words>1511</Words>
  <Characters>8616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10107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Ayan Abdikarim</cp:lastModifiedBy>
  <cp:revision>7</cp:revision>
  <dcterms:created xsi:type="dcterms:W3CDTF">2013-12-23T23:15:00Z</dcterms:created>
  <dcterms:modified xsi:type="dcterms:W3CDTF">2026-06-29T07:06:00Z</dcterms:modified>
  <cp:category/>
</cp:coreProperties>
</file>